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AE" w:rsidRDefault="0046491C" w:rsidP="003A41AE">
      <w:pPr>
        <w:spacing w:after="0" w:line="360" w:lineRule="auto"/>
        <w:jc w:val="both"/>
        <w:rPr>
          <w:rFonts w:ascii="Palatino Linotype" w:hAnsi="Palatino Linotype" w:cs="Arial"/>
          <w:b/>
          <w:sz w:val="24"/>
          <w:szCs w:val="24"/>
        </w:rPr>
      </w:pPr>
      <w:r w:rsidRPr="00C27EF9">
        <w:rPr>
          <w:rFonts w:ascii="Palatino Linotype" w:hAnsi="Palatino Linotype" w:cs="Arial"/>
          <w:b/>
          <w:sz w:val="24"/>
          <w:szCs w:val="24"/>
        </w:rPr>
        <w:t>VOTO PARTICULAR DEL COMISIONADO JOSÉ GUADA</w:t>
      </w:r>
      <w:r w:rsidR="006B36D1" w:rsidRPr="00C27EF9">
        <w:rPr>
          <w:rFonts w:ascii="Palatino Linotype" w:hAnsi="Palatino Linotype" w:cs="Arial"/>
          <w:b/>
          <w:sz w:val="24"/>
          <w:szCs w:val="24"/>
        </w:rPr>
        <w:t>LUPE LUNA HERNÁNDEZ EN EL</w:t>
      </w:r>
      <w:r w:rsidR="00D72985" w:rsidRPr="00C27EF9">
        <w:rPr>
          <w:rFonts w:ascii="Palatino Linotype" w:hAnsi="Palatino Linotype" w:cs="Arial"/>
          <w:b/>
          <w:sz w:val="24"/>
          <w:szCs w:val="24"/>
        </w:rPr>
        <w:t xml:space="preserve"> RECURSO</w:t>
      </w:r>
      <w:r w:rsidR="00BF3534" w:rsidRPr="00C27EF9">
        <w:rPr>
          <w:rFonts w:ascii="Palatino Linotype" w:hAnsi="Palatino Linotype" w:cs="Arial"/>
          <w:b/>
          <w:sz w:val="24"/>
          <w:szCs w:val="24"/>
        </w:rPr>
        <w:t xml:space="preserve"> DE REVISIÓN </w:t>
      </w:r>
      <w:r w:rsidR="007B22FF">
        <w:rPr>
          <w:rFonts w:ascii="Palatino Linotype" w:hAnsi="Palatino Linotype" w:cs="Arial"/>
          <w:b/>
          <w:sz w:val="24"/>
          <w:szCs w:val="24"/>
        </w:rPr>
        <w:t>0</w:t>
      </w:r>
      <w:r w:rsidR="00F14701">
        <w:rPr>
          <w:rFonts w:ascii="Palatino Linotype" w:hAnsi="Palatino Linotype" w:cs="Arial"/>
          <w:b/>
          <w:sz w:val="24"/>
          <w:szCs w:val="24"/>
        </w:rPr>
        <w:t>0222/INFOEM/IP/RR/2019</w:t>
      </w:r>
      <w:r w:rsidR="007B22FF">
        <w:rPr>
          <w:rFonts w:ascii="Palatino Linotype" w:hAnsi="Palatino Linotype" w:cs="Arial"/>
          <w:b/>
          <w:sz w:val="24"/>
          <w:szCs w:val="24"/>
        </w:rPr>
        <w:t xml:space="preserve"> y acu</w:t>
      </w:r>
      <w:r w:rsidR="00E6104E">
        <w:rPr>
          <w:rFonts w:ascii="Palatino Linotype" w:hAnsi="Palatino Linotype" w:cs="Arial"/>
          <w:b/>
          <w:sz w:val="24"/>
          <w:szCs w:val="24"/>
        </w:rPr>
        <w:t>mulado</w:t>
      </w:r>
      <w:r w:rsidR="0000525F" w:rsidRPr="00C27EF9">
        <w:rPr>
          <w:rFonts w:ascii="Palatino Linotype" w:hAnsi="Palatino Linotype" w:cs="Arial"/>
          <w:b/>
          <w:sz w:val="24"/>
          <w:szCs w:val="24"/>
        </w:rPr>
        <w:t>.</w:t>
      </w:r>
    </w:p>
    <w:p w:rsidR="00F14701" w:rsidRDefault="00F14701" w:rsidP="003A41AE">
      <w:pPr>
        <w:spacing w:after="0" w:line="360" w:lineRule="auto"/>
        <w:jc w:val="both"/>
        <w:rPr>
          <w:rFonts w:ascii="Palatino Linotype" w:hAnsi="Palatino Linotype" w:cs="Arial"/>
          <w:b/>
          <w:sz w:val="24"/>
          <w:szCs w:val="24"/>
        </w:rPr>
      </w:pPr>
    </w:p>
    <w:p w:rsidR="007B22FF" w:rsidRDefault="002921DD" w:rsidP="003A41AE">
      <w:pPr>
        <w:spacing w:after="0" w:line="360" w:lineRule="auto"/>
        <w:jc w:val="center"/>
        <w:rPr>
          <w:rFonts w:ascii="Palatino Linotype" w:hAnsi="Palatino Linotype" w:cs="Arial"/>
          <w:b/>
          <w:sz w:val="24"/>
          <w:szCs w:val="24"/>
        </w:rPr>
      </w:pPr>
      <w:r w:rsidRPr="00C27EF9">
        <w:rPr>
          <w:rFonts w:ascii="Palatino Linotype" w:hAnsi="Palatino Linotype" w:cs="Arial"/>
          <w:b/>
          <w:sz w:val="24"/>
          <w:szCs w:val="24"/>
        </w:rPr>
        <w:t>LÍNEAS ARGUMENTATIVAS</w:t>
      </w:r>
    </w:p>
    <w:p w:rsidR="00F14701" w:rsidRPr="00C27EF9" w:rsidRDefault="00F14701" w:rsidP="003A41AE">
      <w:pPr>
        <w:spacing w:after="0" w:line="360" w:lineRule="auto"/>
        <w:jc w:val="center"/>
        <w:rPr>
          <w:rFonts w:ascii="Palatino Linotype" w:hAnsi="Palatino Linotype" w:cs="Arial"/>
          <w:b/>
          <w:sz w:val="24"/>
          <w:szCs w:val="24"/>
        </w:rPr>
      </w:pPr>
    </w:p>
    <w:p w:rsidR="0046491C"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 xml:space="preserve">La falta de impugnación respecto al resto de los requerimientos que no fueron </w:t>
      </w:r>
      <w:proofErr w:type="gramStart"/>
      <w:r w:rsidRPr="00F14701">
        <w:rPr>
          <w:rFonts w:ascii="Palatino Linotype" w:hAnsi="Palatino Linotype" w:cs="Arial"/>
          <w:sz w:val="23"/>
          <w:szCs w:val="23"/>
        </w:rPr>
        <w:t>manifestados</w:t>
      </w:r>
      <w:proofErr w:type="gramEnd"/>
      <w:r w:rsidRPr="00F14701">
        <w:rPr>
          <w:rFonts w:ascii="Palatino Linotype" w:hAnsi="Palatino Linotype" w:cs="Arial"/>
          <w:sz w:val="23"/>
          <w:szCs w:val="23"/>
        </w:rPr>
        <w:t xml:space="preserve"> en el recurso de revisión, no debe</w:t>
      </w:r>
      <w:r w:rsidR="002921DD" w:rsidRPr="00F14701">
        <w:rPr>
          <w:rFonts w:ascii="Palatino Linotype" w:hAnsi="Palatino Linotype" w:cs="Arial"/>
          <w:sz w:val="23"/>
          <w:szCs w:val="23"/>
        </w:rPr>
        <w:t>n</w:t>
      </w:r>
      <w:r w:rsidRPr="00F14701">
        <w:rPr>
          <w:rFonts w:ascii="Palatino Linotype" w:hAnsi="Palatino Linotype" w:cs="Arial"/>
          <w:sz w:val="23"/>
          <w:szCs w:val="23"/>
        </w:rPr>
        <w:t xml:space="preserve"> entenderse como actos consentidos.</w:t>
      </w:r>
    </w:p>
    <w:p w:rsidR="00902248" w:rsidRPr="00F14701" w:rsidRDefault="00902248" w:rsidP="003A41AE">
      <w:pPr>
        <w:spacing w:after="0" w:line="312" w:lineRule="auto"/>
        <w:jc w:val="both"/>
        <w:rPr>
          <w:rFonts w:ascii="Palatino Linotype" w:hAnsi="Palatino Linotype" w:cs="Arial"/>
          <w:sz w:val="23"/>
          <w:szCs w:val="23"/>
        </w:rPr>
      </w:pPr>
    </w:p>
    <w:p w:rsidR="0046491C"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La figura de actos consentidos no debe ser invocada en el derecho humano fundamental de acceder a la información pública gubernamental.</w:t>
      </w:r>
    </w:p>
    <w:p w:rsidR="0001046D" w:rsidRPr="00F14701" w:rsidRDefault="0001046D" w:rsidP="003A41AE">
      <w:pPr>
        <w:spacing w:after="0" w:line="312" w:lineRule="auto"/>
        <w:jc w:val="both"/>
        <w:rPr>
          <w:rFonts w:ascii="Palatino Linotype" w:hAnsi="Palatino Linotype" w:cs="Arial"/>
          <w:sz w:val="23"/>
          <w:szCs w:val="23"/>
        </w:rPr>
      </w:pPr>
    </w:p>
    <w:p w:rsidR="0046491C"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El Órgano Garante del derecho de acceso a la información pública no debe imponerles las cargas formales del proceso jurisdiccional a los particulares.</w:t>
      </w:r>
    </w:p>
    <w:p w:rsidR="0046491C" w:rsidRPr="00F14701" w:rsidRDefault="0046491C" w:rsidP="003A41AE">
      <w:pPr>
        <w:spacing w:after="0" w:line="312" w:lineRule="auto"/>
        <w:jc w:val="both"/>
        <w:rPr>
          <w:rFonts w:ascii="Palatino Linotype" w:hAnsi="Palatino Linotype" w:cs="Arial"/>
          <w:sz w:val="23"/>
          <w:szCs w:val="23"/>
        </w:rPr>
      </w:pPr>
    </w:p>
    <w:p w:rsidR="0046491C"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Lo que este Órgano Garante realice en materia de suplencia de la queja no afecta la igualdad de las partes sino procura el cumplimiento de los deberes de protección del derecho humano.</w:t>
      </w:r>
    </w:p>
    <w:p w:rsidR="0046491C" w:rsidRPr="00F14701" w:rsidRDefault="0046491C" w:rsidP="003A41AE">
      <w:pPr>
        <w:spacing w:after="0" w:line="312" w:lineRule="auto"/>
        <w:jc w:val="both"/>
        <w:rPr>
          <w:rFonts w:ascii="Palatino Linotype" w:hAnsi="Palatino Linotype" w:cs="Arial"/>
          <w:sz w:val="23"/>
          <w:szCs w:val="23"/>
        </w:rPr>
      </w:pPr>
    </w:p>
    <w:p w:rsidR="0046491C"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2921DD" w:rsidRPr="00F14701" w:rsidRDefault="002921DD" w:rsidP="003A41AE">
      <w:pPr>
        <w:spacing w:after="0" w:line="312" w:lineRule="auto"/>
        <w:jc w:val="both"/>
        <w:rPr>
          <w:rFonts w:ascii="Palatino Linotype" w:hAnsi="Palatino Linotype" w:cs="Arial"/>
          <w:sz w:val="23"/>
          <w:szCs w:val="23"/>
        </w:rPr>
      </w:pPr>
    </w:p>
    <w:p w:rsidR="003A41AE" w:rsidRPr="00F14701" w:rsidRDefault="0046491C" w:rsidP="003A41AE">
      <w:pPr>
        <w:spacing w:after="0" w:line="312" w:lineRule="auto"/>
        <w:jc w:val="both"/>
        <w:rPr>
          <w:rFonts w:ascii="Palatino Linotype" w:hAnsi="Palatino Linotype" w:cs="Arial"/>
          <w:sz w:val="23"/>
          <w:szCs w:val="23"/>
        </w:rPr>
      </w:pPr>
      <w:r w:rsidRPr="00F14701">
        <w:rPr>
          <w:rFonts w:ascii="Palatino Linotype" w:hAnsi="Palatino Linotype" w:cs="Arial"/>
          <w:sz w:val="23"/>
          <w:szCs w:val="23"/>
        </w:rPr>
        <w:t>Los órga</w:t>
      </w:r>
      <w:r w:rsidR="00E64674" w:rsidRPr="00F14701">
        <w:rPr>
          <w:rFonts w:ascii="Palatino Linotype" w:hAnsi="Palatino Linotype" w:cs="Arial"/>
          <w:sz w:val="23"/>
          <w:szCs w:val="23"/>
        </w:rPr>
        <w:t>nos del Estado, tienen el deber</w:t>
      </w:r>
      <w:r w:rsidRPr="00F14701">
        <w:rPr>
          <w:rFonts w:ascii="Palatino Linotype" w:hAnsi="Palatino Linotype" w:cs="Arial"/>
          <w:sz w:val="23"/>
          <w:szCs w:val="23"/>
        </w:rPr>
        <w:t>, de prevenir violacion</w:t>
      </w:r>
      <w:r w:rsidR="00E64674" w:rsidRPr="00F14701">
        <w:rPr>
          <w:rFonts w:ascii="Palatino Linotype" w:hAnsi="Palatino Linotype" w:cs="Arial"/>
          <w:sz w:val="23"/>
          <w:szCs w:val="23"/>
        </w:rPr>
        <w:t>es a los derechos fundamentales.</w:t>
      </w:r>
    </w:p>
    <w:p w:rsidR="0046491C" w:rsidRPr="00C27EF9" w:rsidRDefault="002921DD" w:rsidP="003A41AE">
      <w:pPr>
        <w:spacing w:after="0" w:line="312" w:lineRule="auto"/>
        <w:jc w:val="center"/>
        <w:rPr>
          <w:rFonts w:ascii="Palatino Linotype" w:hAnsi="Palatino Linotype" w:cs="Arial"/>
          <w:sz w:val="24"/>
          <w:szCs w:val="24"/>
        </w:rPr>
      </w:pPr>
      <w:r w:rsidRPr="00C27EF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C27EF9" w:rsidRDefault="0046491C" w:rsidP="00E34F08">
          <w:pPr>
            <w:pStyle w:val="TtulodeTDC"/>
            <w:spacing w:line="360" w:lineRule="auto"/>
            <w:rPr>
              <w:rFonts w:ascii="Palatino Linotype" w:hAnsi="Palatino Linotype"/>
              <w:sz w:val="24"/>
              <w:szCs w:val="24"/>
            </w:rPr>
          </w:pPr>
        </w:p>
        <w:p w:rsidR="001A0C85" w:rsidRPr="00F14701" w:rsidRDefault="0046491C" w:rsidP="00F14701">
          <w:pPr>
            <w:pStyle w:val="TDC1"/>
            <w:tabs>
              <w:tab w:val="left" w:pos="440"/>
              <w:tab w:val="right" w:leader="dot" w:pos="8828"/>
            </w:tabs>
            <w:spacing w:line="360" w:lineRule="auto"/>
            <w:rPr>
              <w:rFonts w:ascii="Palatino Linotype" w:eastAsiaTheme="minorEastAsia" w:hAnsi="Palatino Linotype"/>
              <w:noProof/>
              <w:sz w:val="24"/>
              <w:lang w:eastAsia="es-MX"/>
            </w:rPr>
          </w:pPr>
          <w:r w:rsidRPr="00C27EF9">
            <w:rPr>
              <w:rFonts w:ascii="Palatino Linotype" w:hAnsi="Palatino Linotype"/>
              <w:sz w:val="24"/>
              <w:szCs w:val="24"/>
            </w:rPr>
            <w:fldChar w:fldCharType="begin"/>
          </w:r>
          <w:r w:rsidRPr="00C27EF9">
            <w:rPr>
              <w:rFonts w:ascii="Palatino Linotype" w:hAnsi="Palatino Linotype"/>
              <w:sz w:val="24"/>
              <w:szCs w:val="24"/>
            </w:rPr>
            <w:instrText xml:space="preserve"> TOC \o "1-3" \h \z \u </w:instrText>
          </w:r>
          <w:r w:rsidRPr="00C27EF9">
            <w:rPr>
              <w:rFonts w:ascii="Palatino Linotype" w:hAnsi="Palatino Linotype"/>
              <w:sz w:val="24"/>
              <w:szCs w:val="24"/>
            </w:rPr>
            <w:fldChar w:fldCharType="separate"/>
          </w:r>
          <w:hyperlink w:anchor="_Toc535239165" w:history="1">
            <w:r w:rsidR="001A0C85" w:rsidRPr="00F14701">
              <w:rPr>
                <w:rStyle w:val="Hipervnculo"/>
                <w:rFonts w:ascii="Palatino Linotype" w:hAnsi="Palatino Linotype"/>
                <w:b/>
                <w:noProof/>
                <w:sz w:val="24"/>
              </w:rPr>
              <w:t>I.</w:t>
            </w:r>
            <w:r w:rsidR="001A0C85" w:rsidRPr="00F14701">
              <w:rPr>
                <w:rFonts w:ascii="Palatino Linotype" w:eastAsiaTheme="minorEastAsia" w:hAnsi="Palatino Linotype"/>
                <w:noProof/>
                <w:sz w:val="24"/>
                <w:lang w:eastAsia="es-MX"/>
              </w:rPr>
              <w:tab/>
            </w:r>
            <w:r w:rsidR="001A0C85" w:rsidRPr="00F14701">
              <w:rPr>
                <w:rStyle w:val="Hipervnculo"/>
                <w:rFonts w:ascii="Palatino Linotype" w:hAnsi="Palatino Linotype"/>
                <w:b/>
                <w:noProof/>
                <w:sz w:val="24"/>
              </w:rPr>
              <w:t>Consideraciones Generales.</w:t>
            </w:r>
            <w:r w:rsidR="001A0C85" w:rsidRPr="00F14701">
              <w:rPr>
                <w:rFonts w:ascii="Palatino Linotype" w:hAnsi="Palatino Linotype"/>
                <w:noProof/>
                <w:webHidden/>
                <w:sz w:val="24"/>
              </w:rPr>
              <w:tab/>
            </w:r>
            <w:r w:rsidR="001A0C85" w:rsidRPr="00F14701">
              <w:rPr>
                <w:rFonts w:ascii="Palatino Linotype" w:hAnsi="Palatino Linotype"/>
                <w:noProof/>
                <w:webHidden/>
                <w:sz w:val="24"/>
              </w:rPr>
              <w:fldChar w:fldCharType="begin"/>
            </w:r>
            <w:r w:rsidR="001A0C85" w:rsidRPr="00F14701">
              <w:rPr>
                <w:rFonts w:ascii="Palatino Linotype" w:hAnsi="Palatino Linotype"/>
                <w:noProof/>
                <w:webHidden/>
                <w:sz w:val="24"/>
              </w:rPr>
              <w:instrText xml:space="preserve"> PAGEREF _Toc535239165 \h </w:instrText>
            </w:r>
            <w:r w:rsidR="001A0C85" w:rsidRPr="00F14701">
              <w:rPr>
                <w:rFonts w:ascii="Palatino Linotype" w:hAnsi="Palatino Linotype"/>
                <w:noProof/>
                <w:webHidden/>
                <w:sz w:val="24"/>
              </w:rPr>
            </w:r>
            <w:r w:rsidR="001A0C85" w:rsidRPr="00F14701">
              <w:rPr>
                <w:rFonts w:ascii="Palatino Linotype" w:hAnsi="Palatino Linotype"/>
                <w:noProof/>
                <w:webHidden/>
                <w:sz w:val="24"/>
              </w:rPr>
              <w:fldChar w:fldCharType="separate"/>
            </w:r>
            <w:r w:rsidR="009428FB">
              <w:rPr>
                <w:rFonts w:ascii="Palatino Linotype" w:hAnsi="Palatino Linotype"/>
                <w:noProof/>
                <w:webHidden/>
                <w:sz w:val="24"/>
              </w:rPr>
              <w:t>2</w:t>
            </w:r>
            <w:r w:rsidR="001A0C85" w:rsidRPr="00F14701">
              <w:rPr>
                <w:rFonts w:ascii="Palatino Linotype" w:hAnsi="Palatino Linotype"/>
                <w:noProof/>
                <w:webHidden/>
                <w:sz w:val="24"/>
              </w:rPr>
              <w:fldChar w:fldCharType="end"/>
            </w:r>
          </w:hyperlink>
        </w:p>
        <w:p w:rsidR="001A0C85" w:rsidRPr="00F14701" w:rsidRDefault="00604834" w:rsidP="00F14701">
          <w:pPr>
            <w:pStyle w:val="TDC1"/>
            <w:tabs>
              <w:tab w:val="left" w:pos="660"/>
              <w:tab w:val="right" w:leader="dot" w:pos="8828"/>
            </w:tabs>
            <w:spacing w:line="360" w:lineRule="auto"/>
            <w:rPr>
              <w:rFonts w:ascii="Palatino Linotype" w:eastAsiaTheme="minorEastAsia" w:hAnsi="Palatino Linotype"/>
              <w:noProof/>
              <w:sz w:val="24"/>
              <w:lang w:eastAsia="es-MX"/>
            </w:rPr>
          </w:pPr>
          <w:hyperlink w:anchor="_Toc535239166" w:history="1">
            <w:r w:rsidR="001A0C85" w:rsidRPr="00F14701">
              <w:rPr>
                <w:rStyle w:val="Hipervnculo"/>
                <w:rFonts w:ascii="Palatino Linotype" w:hAnsi="Palatino Linotype"/>
                <w:b/>
                <w:noProof/>
                <w:sz w:val="24"/>
              </w:rPr>
              <w:t>II.</w:t>
            </w:r>
            <w:r w:rsidR="001A0C85" w:rsidRPr="00F14701">
              <w:rPr>
                <w:rFonts w:ascii="Palatino Linotype" w:eastAsiaTheme="minorEastAsia" w:hAnsi="Palatino Linotype"/>
                <w:noProof/>
                <w:sz w:val="24"/>
                <w:lang w:eastAsia="es-MX"/>
              </w:rPr>
              <w:tab/>
            </w:r>
            <w:r w:rsidR="001A0C85" w:rsidRPr="00F14701">
              <w:rPr>
                <w:rStyle w:val="Hipervnculo"/>
                <w:rFonts w:ascii="Palatino Linotype" w:hAnsi="Palatino Linotype"/>
                <w:b/>
                <w:noProof/>
                <w:sz w:val="24"/>
              </w:rPr>
              <w:t>De los requerimientos planteados en el recurso de revisión.</w:t>
            </w:r>
            <w:r w:rsidR="001A0C85" w:rsidRPr="00F14701">
              <w:rPr>
                <w:rFonts w:ascii="Palatino Linotype" w:hAnsi="Palatino Linotype"/>
                <w:noProof/>
                <w:webHidden/>
                <w:sz w:val="24"/>
              </w:rPr>
              <w:tab/>
            </w:r>
            <w:r w:rsidR="001A0C85" w:rsidRPr="00F14701">
              <w:rPr>
                <w:rFonts w:ascii="Palatino Linotype" w:hAnsi="Palatino Linotype"/>
                <w:noProof/>
                <w:webHidden/>
                <w:sz w:val="24"/>
              </w:rPr>
              <w:fldChar w:fldCharType="begin"/>
            </w:r>
            <w:r w:rsidR="001A0C85" w:rsidRPr="00F14701">
              <w:rPr>
                <w:rFonts w:ascii="Palatino Linotype" w:hAnsi="Palatino Linotype"/>
                <w:noProof/>
                <w:webHidden/>
                <w:sz w:val="24"/>
              </w:rPr>
              <w:instrText xml:space="preserve"> PAGEREF _Toc535239166 \h </w:instrText>
            </w:r>
            <w:r w:rsidR="001A0C85" w:rsidRPr="00F14701">
              <w:rPr>
                <w:rFonts w:ascii="Palatino Linotype" w:hAnsi="Palatino Linotype"/>
                <w:noProof/>
                <w:webHidden/>
                <w:sz w:val="24"/>
              </w:rPr>
            </w:r>
            <w:r w:rsidR="001A0C85" w:rsidRPr="00F14701">
              <w:rPr>
                <w:rFonts w:ascii="Palatino Linotype" w:hAnsi="Palatino Linotype"/>
                <w:noProof/>
                <w:webHidden/>
                <w:sz w:val="24"/>
              </w:rPr>
              <w:fldChar w:fldCharType="separate"/>
            </w:r>
            <w:r w:rsidR="009428FB">
              <w:rPr>
                <w:rFonts w:ascii="Palatino Linotype" w:hAnsi="Palatino Linotype"/>
                <w:noProof/>
                <w:webHidden/>
                <w:sz w:val="24"/>
              </w:rPr>
              <w:t>3</w:t>
            </w:r>
            <w:r w:rsidR="001A0C85" w:rsidRPr="00F14701">
              <w:rPr>
                <w:rFonts w:ascii="Palatino Linotype" w:hAnsi="Palatino Linotype"/>
                <w:noProof/>
                <w:webHidden/>
                <w:sz w:val="24"/>
              </w:rPr>
              <w:fldChar w:fldCharType="end"/>
            </w:r>
          </w:hyperlink>
        </w:p>
        <w:p w:rsidR="001A0C85" w:rsidRPr="00F14701" w:rsidRDefault="00604834" w:rsidP="00F14701">
          <w:pPr>
            <w:pStyle w:val="TDC1"/>
            <w:tabs>
              <w:tab w:val="left" w:pos="660"/>
              <w:tab w:val="right" w:leader="dot" w:pos="8828"/>
            </w:tabs>
            <w:spacing w:line="360" w:lineRule="auto"/>
            <w:rPr>
              <w:rFonts w:ascii="Palatino Linotype" w:eastAsiaTheme="minorEastAsia" w:hAnsi="Palatino Linotype"/>
              <w:noProof/>
              <w:sz w:val="24"/>
              <w:lang w:eastAsia="es-MX"/>
            </w:rPr>
          </w:pPr>
          <w:hyperlink w:anchor="_Toc535239167" w:history="1">
            <w:r w:rsidR="001A0C85" w:rsidRPr="00F14701">
              <w:rPr>
                <w:rStyle w:val="Hipervnculo"/>
                <w:rFonts w:ascii="Palatino Linotype" w:hAnsi="Palatino Linotype"/>
                <w:b/>
                <w:noProof/>
                <w:sz w:val="24"/>
              </w:rPr>
              <w:t>III.</w:t>
            </w:r>
            <w:r w:rsidR="001A0C85" w:rsidRPr="00F14701">
              <w:rPr>
                <w:rFonts w:ascii="Palatino Linotype" w:eastAsiaTheme="minorEastAsia" w:hAnsi="Palatino Linotype"/>
                <w:noProof/>
                <w:sz w:val="24"/>
                <w:lang w:eastAsia="es-MX"/>
              </w:rPr>
              <w:tab/>
            </w:r>
            <w:r w:rsidR="001A0C85" w:rsidRPr="00F14701">
              <w:rPr>
                <w:rStyle w:val="Hipervnculo"/>
                <w:rFonts w:ascii="Palatino Linotype" w:hAnsi="Palatino Linotype"/>
                <w:b/>
                <w:noProof/>
                <w:sz w:val="24"/>
              </w:rPr>
              <w:t>Los actos consentidos no deben invocarse en el derecho fundamental de acceder a la información pública gubernamental.</w:t>
            </w:r>
            <w:r w:rsidR="001A0C85" w:rsidRPr="00F14701">
              <w:rPr>
                <w:rFonts w:ascii="Palatino Linotype" w:hAnsi="Palatino Linotype"/>
                <w:noProof/>
                <w:webHidden/>
                <w:sz w:val="24"/>
              </w:rPr>
              <w:tab/>
            </w:r>
            <w:r w:rsidR="001A0C85" w:rsidRPr="00F14701">
              <w:rPr>
                <w:rFonts w:ascii="Palatino Linotype" w:hAnsi="Palatino Linotype"/>
                <w:noProof/>
                <w:webHidden/>
                <w:sz w:val="24"/>
              </w:rPr>
              <w:fldChar w:fldCharType="begin"/>
            </w:r>
            <w:r w:rsidR="001A0C85" w:rsidRPr="00F14701">
              <w:rPr>
                <w:rFonts w:ascii="Palatino Linotype" w:hAnsi="Palatino Linotype"/>
                <w:noProof/>
                <w:webHidden/>
                <w:sz w:val="24"/>
              </w:rPr>
              <w:instrText xml:space="preserve"> PAGEREF _Toc535239167 \h </w:instrText>
            </w:r>
            <w:r w:rsidR="001A0C85" w:rsidRPr="00F14701">
              <w:rPr>
                <w:rFonts w:ascii="Palatino Linotype" w:hAnsi="Palatino Linotype"/>
                <w:noProof/>
                <w:webHidden/>
                <w:sz w:val="24"/>
              </w:rPr>
            </w:r>
            <w:r w:rsidR="001A0C85" w:rsidRPr="00F14701">
              <w:rPr>
                <w:rFonts w:ascii="Palatino Linotype" w:hAnsi="Palatino Linotype"/>
                <w:noProof/>
                <w:webHidden/>
                <w:sz w:val="24"/>
              </w:rPr>
              <w:fldChar w:fldCharType="separate"/>
            </w:r>
            <w:r w:rsidR="009428FB">
              <w:rPr>
                <w:rFonts w:ascii="Palatino Linotype" w:hAnsi="Palatino Linotype"/>
                <w:noProof/>
                <w:webHidden/>
                <w:sz w:val="24"/>
              </w:rPr>
              <w:t>9</w:t>
            </w:r>
            <w:r w:rsidR="001A0C85" w:rsidRPr="00F14701">
              <w:rPr>
                <w:rFonts w:ascii="Palatino Linotype" w:hAnsi="Palatino Linotype"/>
                <w:noProof/>
                <w:webHidden/>
                <w:sz w:val="24"/>
              </w:rPr>
              <w:fldChar w:fldCharType="end"/>
            </w:r>
          </w:hyperlink>
        </w:p>
        <w:p w:rsidR="0046491C" w:rsidRPr="00C27EF9" w:rsidRDefault="0046491C" w:rsidP="00E34F08">
          <w:pPr>
            <w:spacing w:line="360" w:lineRule="auto"/>
            <w:rPr>
              <w:rFonts w:ascii="Palatino Linotype" w:hAnsi="Palatino Linotype"/>
              <w:sz w:val="24"/>
              <w:szCs w:val="24"/>
            </w:rPr>
          </w:pPr>
          <w:r w:rsidRPr="00C27EF9">
            <w:rPr>
              <w:rFonts w:ascii="Palatino Linotype" w:hAnsi="Palatino Linotype"/>
              <w:b/>
              <w:bCs/>
              <w:sz w:val="24"/>
              <w:szCs w:val="24"/>
              <w:lang w:val="es-ES"/>
            </w:rPr>
            <w:fldChar w:fldCharType="end"/>
          </w:r>
        </w:p>
      </w:sdtContent>
    </w:sdt>
    <w:p w:rsidR="0046491C" w:rsidRPr="00C27EF9" w:rsidRDefault="0046491C" w:rsidP="002921DD">
      <w:pPr>
        <w:pStyle w:val="Ttulo1"/>
        <w:numPr>
          <w:ilvl w:val="0"/>
          <w:numId w:val="12"/>
        </w:numPr>
        <w:spacing w:line="360" w:lineRule="auto"/>
        <w:ind w:left="0" w:firstLine="0"/>
        <w:rPr>
          <w:rFonts w:ascii="Palatino Linotype" w:hAnsi="Palatino Linotype"/>
          <w:b/>
          <w:color w:val="auto"/>
          <w:sz w:val="24"/>
          <w:szCs w:val="24"/>
        </w:rPr>
      </w:pPr>
      <w:bookmarkStart w:id="0" w:name="_Toc535239165"/>
      <w:r w:rsidRPr="00C27EF9">
        <w:rPr>
          <w:rFonts w:ascii="Palatino Linotype" w:hAnsi="Palatino Linotype"/>
          <w:b/>
          <w:color w:val="auto"/>
          <w:sz w:val="24"/>
          <w:szCs w:val="24"/>
        </w:rPr>
        <w:t>Consideraciones Generales.</w:t>
      </w:r>
      <w:bookmarkEnd w:id="0"/>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00525F" w:rsidRPr="00E6104E" w:rsidRDefault="0046491C" w:rsidP="00185583">
      <w:pPr>
        <w:pStyle w:val="Prrafodelista"/>
        <w:numPr>
          <w:ilvl w:val="0"/>
          <w:numId w:val="1"/>
        </w:numPr>
        <w:spacing w:after="0" w:line="360" w:lineRule="auto"/>
        <w:ind w:left="0" w:firstLine="0"/>
        <w:jc w:val="both"/>
        <w:rPr>
          <w:rFonts w:ascii="Palatino Linotype" w:hAnsi="Palatino Linotype" w:cs="Arial"/>
          <w:sz w:val="24"/>
          <w:szCs w:val="24"/>
        </w:rPr>
      </w:pPr>
      <w:r w:rsidRPr="00E6104E">
        <w:rPr>
          <w:rFonts w:ascii="Palatino Linotype" w:eastAsia="Times New Roman" w:hAnsi="Palatino Linotype" w:cs="Arial"/>
          <w:sz w:val="24"/>
          <w:szCs w:val="24"/>
          <w:lang w:val="es-ES_tradnl"/>
        </w:rPr>
        <w:t xml:space="preserve">He concurrido con mi </w:t>
      </w:r>
      <w:r w:rsidR="00D33AF9" w:rsidRPr="00E6104E">
        <w:rPr>
          <w:rFonts w:ascii="Palatino Linotype" w:eastAsia="Times New Roman" w:hAnsi="Palatino Linotype" w:cs="Arial"/>
          <w:sz w:val="24"/>
          <w:szCs w:val="24"/>
          <w:lang w:val="es-ES_tradnl"/>
        </w:rPr>
        <w:t>voto</w:t>
      </w:r>
      <w:r w:rsidRPr="00E6104E">
        <w:rPr>
          <w:rFonts w:ascii="Palatino Linotype" w:eastAsia="Times New Roman" w:hAnsi="Palatino Linotype" w:cs="Arial"/>
          <w:sz w:val="24"/>
          <w:szCs w:val="24"/>
          <w:lang w:val="es-ES_tradnl"/>
        </w:rPr>
        <w:t xml:space="preserve"> particular de la presente resolución emitida </w:t>
      </w:r>
      <w:r w:rsidRPr="00E6104E">
        <w:rPr>
          <w:rFonts w:ascii="Palatino Linotype" w:hAnsi="Palatino Linotype" w:cs="Arial"/>
          <w:sz w:val="24"/>
          <w:szCs w:val="24"/>
        </w:rPr>
        <w:t>por el Pleno del Instituto de Transparencia, Acceso a la Información Pública y Protección de Datos Personales del Estado de Méxi</w:t>
      </w:r>
      <w:r w:rsidR="002C1F75" w:rsidRPr="00E6104E">
        <w:rPr>
          <w:rFonts w:ascii="Palatino Linotype" w:hAnsi="Palatino Linotype" w:cs="Arial"/>
          <w:sz w:val="24"/>
          <w:szCs w:val="24"/>
        </w:rPr>
        <w:t>co y Municipios, en su</w:t>
      </w:r>
      <w:r w:rsidR="001A0C85" w:rsidRPr="00E6104E">
        <w:rPr>
          <w:rFonts w:ascii="Palatino Linotype" w:hAnsi="Palatino Linotype" w:cs="Arial"/>
          <w:sz w:val="24"/>
          <w:szCs w:val="24"/>
        </w:rPr>
        <w:t xml:space="preserve"> </w:t>
      </w:r>
      <w:r w:rsidR="00F14701">
        <w:rPr>
          <w:rFonts w:ascii="Palatino Linotype" w:hAnsi="Palatino Linotype" w:cs="Arial"/>
          <w:sz w:val="24"/>
          <w:szCs w:val="24"/>
        </w:rPr>
        <w:t xml:space="preserve">Séptima </w:t>
      </w:r>
      <w:r w:rsidR="005D0C3F" w:rsidRPr="00E6104E">
        <w:rPr>
          <w:rFonts w:ascii="Palatino Linotype" w:hAnsi="Palatino Linotype" w:cs="Arial"/>
          <w:sz w:val="24"/>
          <w:szCs w:val="24"/>
        </w:rPr>
        <w:t>Sesión O</w:t>
      </w:r>
      <w:r w:rsidR="001A0C85" w:rsidRPr="00E6104E">
        <w:rPr>
          <w:rFonts w:ascii="Palatino Linotype" w:hAnsi="Palatino Linotype" w:cs="Arial"/>
          <w:sz w:val="24"/>
          <w:szCs w:val="24"/>
        </w:rPr>
        <w:t xml:space="preserve">rdinaria de </w:t>
      </w:r>
      <w:r w:rsidR="00F14701">
        <w:rPr>
          <w:rFonts w:ascii="Palatino Linotype" w:hAnsi="Palatino Linotype" w:cs="Arial"/>
          <w:sz w:val="24"/>
          <w:szCs w:val="24"/>
        </w:rPr>
        <w:t>veinte</w:t>
      </w:r>
      <w:r w:rsidR="006B36D1" w:rsidRPr="00E6104E">
        <w:rPr>
          <w:rFonts w:ascii="Palatino Linotype" w:hAnsi="Palatino Linotype" w:cs="Arial"/>
          <w:sz w:val="24"/>
          <w:szCs w:val="24"/>
        </w:rPr>
        <w:t xml:space="preserve"> </w:t>
      </w:r>
      <w:r w:rsidRPr="00E6104E">
        <w:rPr>
          <w:rFonts w:ascii="Palatino Linotype" w:hAnsi="Palatino Linotype" w:cs="Arial"/>
          <w:sz w:val="24"/>
          <w:szCs w:val="24"/>
        </w:rPr>
        <w:t>(</w:t>
      </w:r>
      <w:r w:rsidR="00F14701">
        <w:rPr>
          <w:rFonts w:ascii="Palatino Linotype" w:hAnsi="Palatino Linotype" w:cs="Arial"/>
          <w:sz w:val="24"/>
          <w:szCs w:val="24"/>
        </w:rPr>
        <w:t>20</w:t>
      </w:r>
      <w:r w:rsidR="001A0C85" w:rsidRPr="00E6104E">
        <w:rPr>
          <w:rFonts w:ascii="Palatino Linotype" w:hAnsi="Palatino Linotype" w:cs="Arial"/>
          <w:sz w:val="24"/>
          <w:szCs w:val="24"/>
        </w:rPr>
        <w:t>) de</w:t>
      </w:r>
      <w:r w:rsidR="00F14701">
        <w:rPr>
          <w:rFonts w:ascii="Palatino Linotype" w:hAnsi="Palatino Linotype" w:cs="Arial"/>
          <w:sz w:val="24"/>
          <w:szCs w:val="24"/>
        </w:rPr>
        <w:t xml:space="preserve"> febrero </w:t>
      </w:r>
      <w:r w:rsidR="001A0C85" w:rsidRPr="00E6104E">
        <w:rPr>
          <w:rFonts w:ascii="Palatino Linotype" w:hAnsi="Palatino Linotype" w:cs="Arial"/>
          <w:sz w:val="24"/>
          <w:szCs w:val="24"/>
        </w:rPr>
        <w:t>de dos mil diecinueve, en los</w:t>
      </w:r>
      <w:r w:rsidRPr="00E6104E">
        <w:rPr>
          <w:rFonts w:ascii="Palatino Linotype" w:hAnsi="Palatino Linotype" w:cs="Arial"/>
          <w:sz w:val="24"/>
          <w:szCs w:val="24"/>
        </w:rPr>
        <w:t xml:space="preserve"> recurso</w:t>
      </w:r>
      <w:r w:rsidR="001A0C85" w:rsidRPr="00E6104E">
        <w:rPr>
          <w:rFonts w:ascii="Palatino Linotype" w:hAnsi="Palatino Linotype" w:cs="Arial"/>
          <w:sz w:val="24"/>
          <w:szCs w:val="24"/>
        </w:rPr>
        <w:t>s</w:t>
      </w:r>
      <w:r w:rsidR="002C1F75" w:rsidRPr="00E6104E">
        <w:rPr>
          <w:rFonts w:ascii="Palatino Linotype" w:hAnsi="Palatino Linotype" w:cs="Arial"/>
          <w:sz w:val="24"/>
          <w:szCs w:val="24"/>
        </w:rPr>
        <w:t xml:space="preserve"> de revisión promovido</w:t>
      </w:r>
      <w:r w:rsidR="001A0C85" w:rsidRPr="00E6104E">
        <w:rPr>
          <w:rFonts w:ascii="Palatino Linotype" w:hAnsi="Palatino Linotype" w:cs="Arial"/>
          <w:sz w:val="24"/>
          <w:szCs w:val="24"/>
        </w:rPr>
        <w:t>s</w:t>
      </w:r>
      <w:r w:rsidRPr="00E6104E">
        <w:rPr>
          <w:rFonts w:ascii="Palatino Linotype" w:hAnsi="Palatino Linotype" w:cs="Arial"/>
          <w:sz w:val="24"/>
          <w:szCs w:val="24"/>
        </w:rPr>
        <w:t xml:space="preserve"> en contra de la</w:t>
      </w:r>
      <w:r w:rsidR="00902248" w:rsidRPr="00E6104E">
        <w:rPr>
          <w:rFonts w:ascii="Palatino Linotype" w:hAnsi="Palatino Linotype" w:cs="Arial"/>
          <w:sz w:val="24"/>
          <w:szCs w:val="24"/>
        </w:rPr>
        <w:t>s</w:t>
      </w:r>
      <w:r w:rsidR="003A41AE" w:rsidRPr="00E6104E">
        <w:rPr>
          <w:rFonts w:ascii="Palatino Linotype" w:hAnsi="Palatino Linotype" w:cs="Arial"/>
          <w:sz w:val="24"/>
          <w:szCs w:val="24"/>
        </w:rPr>
        <w:t xml:space="preserve"> respuesta</w:t>
      </w:r>
      <w:r w:rsidR="001A0C85" w:rsidRPr="00E6104E">
        <w:rPr>
          <w:rFonts w:ascii="Palatino Linotype" w:hAnsi="Palatino Linotype" w:cs="Arial"/>
          <w:sz w:val="24"/>
          <w:szCs w:val="24"/>
        </w:rPr>
        <w:t>s</w:t>
      </w:r>
      <w:r w:rsidR="003A41AE" w:rsidRPr="00E6104E">
        <w:rPr>
          <w:rFonts w:ascii="Palatino Linotype" w:hAnsi="Palatino Linotype" w:cs="Arial"/>
          <w:sz w:val="24"/>
          <w:szCs w:val="24"/>
        </w:rPr>
        <w:t xml:space="preserve"> </w:t>
      </w:r>
      <w:r w:rsidR="003A41AE" w:rsidRPr="009428FB">
        <w:rPr>
          <w:rFonts w:ascii="Palatino Linotype" w:hAnsi="Palatino Linotype" w:cs="Arial"/>
          <w:sz w:val="24"/>
          <w:szCs w:val="24"/>
        </w:rPr>
        <w:t>del</w:t>
      </w:r>
      <w:r w:rsidR="00F14701">
        <w:rPr>
          <w:rFonts w:ascii="Palatino Linotype" w:hAnsi="Palatino Linotype" w:cs="Arial"/>
          <w:b/>
          <w:sz w:val="24"/>
          <w:szCs w:val="24"/>
        </w:rPr>
        <w:t xml:space="preserve"> Ayuntamiento de Atizapán de Zaragoza</w:t>
      </w:r>
      <w:r w:rsidRPr="00E6104E">
        <w:rPr>
          <w:rFonts w:ascii="Palatino Linotype" w:hAnsi="Palatino Linotype" w:cs="Arial"/>
          <w:b/>
          <w:sz w:val="24"/>
          <w:szCs w:val="24"/>
        </w:rPr>
        <w:t>,</w:t>
      </w:r>
      <w:r w:rsidRPr="00E6104E">
        <w:rPr>
          <w:rFonts w:ascii="Palatino Linotype" w:hAnsi="Palatino Linotype" w:cs="Arial"/>
          <w:sz w:val="24"/>
          <w:szCs w:val="24"/>
        </w:rPr>
        <w:t xml:space="preserve"> procedimiento</w:t>
      </w:r>
      <w:r w:rsidR="001A0C85" w:rsidRPr="00E6104E">
        <w:rPr>
          <w:rFonts w:ascii="Palatino Linotype" w:hAnsi="Palatino Linotype" w:cs="Arial"/>
          <w:sz w:val="24"/>
          <w:szCs w:val="24"/>
        </w:rPr>
        <w:t xml:space="preserve">s a los </w:t>
      </w:r>
      <w:r w:rsidR="00902248" w:rsidRPr="00E6104E">
        <w:rPr>
          <w:rFonts w:ascii="Palatino Linotype" w:hAnsi="Palatino Linotype" w:cs="Arial"/>
          <w:sz w:val="24"/>
          <w:szCs w:val="24"/>
        </w:rPr>
        <w:t>que se le</w:t>
      </w:r>
      <w:r w:rsidR="001A0C85" w:rsidRPr="00E6104E">
        <w:rPr>
          <w:rFonts w:ascii="Palatino Linotype" w:hAnsi="Palatino Linotype" w:cs="Arial"/>
          <w:sz w:val="24"/>
          <w:szCs w:val="24"/>
        </w:rPr>
        <w:t>s</w:t>
      </w:r>
      <w:r w:rsidR="00902248" w:rsidRPr="00E6104E">
        <w:rPr>
          <w:rFonts w:ascii="Palatino Linotype" w:hAnsi="Palatino Linotype" w:cs="Arial"/>
          <w:sz w:val="24"/>
          <w:szCs w:val="24"/>
        </w:rPr>
        <w:t xml:space="preserve"> asignó </w:t>
      </w:r>
      <w:r w:rsidR="001A0C85" w:rsidRPr="00E6104E">
        <w:rPr>
          <w:rFonts w:ascii="Palatino Linotype" w:hAnsi="Palatino Linotype" w:cs="Arial"/>
          <w:sz w:val="24"/>
          <w:szCs w:val="24"/>
        </w:rPr>
        <w:t xml:space="preserve">los números </w:t>
      </w:r>
      <w:r w:rsidRPr="00E6104E">
        <w:rPr>
          <w:rFonts w:ascii="Palatino Linotype" w:hAnsi="Palatino Linotype" w:cs="Arial"/>
          <w:sz w:val="24"/>
          <w:szCs w:val="24"/>
        </w:rPr>
        <w:t xml:space="preserve">de expediente </w:t>
      </w:r>
      <w:r w:rsidR="00F14701">
        <w:rPr>
          <w:rFonts w:ascii="Palatino Linotype" w:eastAsia="Times New Roman" w:hAnsi="Palatino Linotype" w:cs="Arial"/>
          <w:b/>
          <w:bCs/>
          <w:sz w:val="24"/>
          <w:szCs w:val="24"/>
          <w:lang w:eastAsia="es-ES"/>
        </w:rPr>
        <w:t>00222</w:t>
      </w:r>
      <w:r w:rsidR="003A41AE" w:rsidRPr="00E6104E">
        <w:rPr>
          <w:rFonts w:ascii="Palatino Linotype" w:eastAsia="Times New Roman" w:hAnsi="Palatino Linotype" w:cs="Arial"/>
          <w:b/>
          <w:bCs/>
          <w:sz w:val="24"/>
          <w:szCs w:val="24"/>
          <w:lang w:eastAsia="es-ES"/>
        </w:rPr>
        <w:t>/INFOEM/IP/RR</w:t>
      </w:r>
      <w:r w:rsidR="00F14701">
        <w:rPr>
          <w:rFonts w:ascii="Palatino Linotype" w:eastAsia="Times New Roman" w:hAnsi="Palatino Linotype" w:cs="Arial"/>
          <w:b/>
          <w:bCs/>
          <w:sz w:val="24"/>
          <w:szCs w:val="24"/>
          <w:lang w:eastAsia="es-ES"/>
        </w:rPr>
        <w:t>/2019</w:t>
      </w:r>
      <w:r w:rsidR="00E6104E">
        <w:rPr>
          <w:rFonts w:ascii="Palatino Linotype" w:eastAsia="Times New Roman" w:hAnsi="Palatino Linotype" w:cs="Arial"/>
          <w:b/>
          <w:bCs/>
          <w:sz w:val="24"/>
          <w:szCs w:val="24"/>
          <w:lang w:eastAsia="es-ES"/>
        </w:rPr>
        <w:t xml:space="preserve"> y </w:t>
      </w:r>
      <w:r w:rsidR="00F14701">
        <w:rPr>
          <w:rFonts w:ascii="Palatino Linotype" w:eastAsia="Times New Roman" w:hAnsi="Palatino Linotype" w:cs="Arial"/>
          <w:b/>
          <w:bCs/>
          <w:sz w:val="24"/>
          <w:szCs w:val="24"/>
          <w:lang w:eastAsia="es-ES"/>
        </w:rPr>
        <w:t>00223/INFOEM/IP/RR/2019</w:t>
      </w:r>
      <w:r w:rsidR="00E6104E">
        <w:rPr>
          <w:rFonts w:ascii="Palatino Linotype" w:eastAsia="Times New Roman" w:hAnsi="Palatino Linotype" w:cs="Arial"/>
          <w:b/>
          <w:bCs/>
          <w:sz w:val="24"/>
          <w:szCs w:val="24"/>
          <w:lang w:eastAsia="es-ES"/>
        </w:rPr>
        <w:t>.</w:t>
      </w:r>
    </w:p>
    <w:p w:rsidR="00E6104E" w:rsidRPr="00E6104E" w:rsidRDefault="00E6104E" w:rsidP="00E6104E">
      <w:pPr>
        <w:pStyle w:val="Prrafodelista"/>
        <w:spacing w:after="0" w:line="360" w:lineRule="auto"/>
        <w:ind w:left="426"/>
        <w:jc w:val="both"/>
        <w:rPr>
          <w:rFonts w:ascii="Palatino Linotype" w:hAnsi="Palatino Linotype" w:cs="Arial"/>
          <w:sz w:val="24"/>
          <w:szCs w:val="24"/>
        </w:rPr>
      </w:pPr>
    </w:p>
    <w:p w:rsidR="00185583" w:rsidRDefault="00F14701" w:rsidP="00185583">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in</w:t>
      </w:r>
      <w:r w:rsidR="0046491C" w:rsidRPr="00C27EF9">
        <w:rPr>
          <w:rFonts w:ascii="Palatino Linotype" w:hAnsi="Palatino Linotype" w:cs="Arial"/>
          <w:sz w:val="24"/>
          <w:szCs w:val="24"/>
        </w:rPr>
        <w:t>fundad</w:t>
      </w:r>
      <w:r>
        <w:rPr>
          <w:rFonts w:ascii="Palatino Linotype" w:hAnsi="Palatino Linotype" w:cs="Arial"/>
          <w:sz w:val="24"/>
          <w:szCs w:val="24"/>
        </w:rPr>
        <w:t>as la</w:t>
      </w:r>
      <w:r w:rsidR="00185583">
        <w:rPr>
          <w:rFonts w:ascii="Palatino Linotype" w:hAnsi="Palatino Linotype" w:cs="Arial"/>
          <w:sz w:val="24"/>
          <w:szCs w:val="24"/>
        </w:rPr>
        <w:t>s</w:t>
      </w:r>
      <w:r>
        <w:rPr>
          <w:rFonts w:ascii="Palatino Linotype" w:hAnsi="Palatino Linotype" w:cs="Arial"/>
          <w:sz w:val="24"/>
          <w:szCs w:val="24"/>
        </w:rPr>
        <w:t xml:space="preserve"> razones o motivos de inconformidad vertidos por el r</w:t>
      </w:r>
      <w:r w:rsidR="00185583">
        <w:rPr>
          <w:rFonts w:ascii="Palatino Linotype" w:hAnsi="Palatino Linotype" w:cs="Arial"/>
          <w:sz w:val="24"/>
          <w:szCs w:val="24"/>
        </w:rPr>
        <w:t xml:space="preserve">ecurrente en el </w:t>
      </w:r>
      <w:r>
        <w:rPr>
          <w:rFonts w:ascii="Palatino Linotype" w:hAnsi="Palatino Linotype" w:cs="Arial"/>
          <w:sz w:val="24"/>
          <w:szCs w:val="24"/>
        </w:rPr>
        <w:t xml:space="preserve">recurso de revisión número </w:t>
      </w:r>
      <w:r w:rsidRPr="00C279F1">
        <w:rPr>
          <w:rFonts w:ascii="Palatino Linotype" w:hAnsi="Palatino Linotype" w:cs="Arial"/>
          <w:b/>
          <w:sz w:val="24"/>
          <w:szCs w:val="24"/>
        </w:rPr>
        <w:t>00222/INFOEM/IP/RR/2019</w:t>
      </w:r>
      <w:r>
        <w:rPr>
          <w:rFonts w:ascii="Palatino Linotype" w:hAnsi="Palatino Linotype" w:cs="Arial"/>
          <w:sz w:val="24"/>
          <w:szCs w:val="24"/>
        </w:rPr>
        <w:t xml:space="preserve"> y parcialmente fundadas en el recurso </w:t>
      </w:r>
      <w:r w:rsidRPr="00C279F1">
        <w:rPr>
          <w:rFonts w:ascii="Palatino Linotype" w:hAnsi="Palatino Linotype" w:cs="Arial"/>
          <w:b/>
          <w:sz w:val="24"/>
          <w:szCs w:val="24"/>
        </w:rPr>
        <w:lastRenderedPageBreak/>
        <w:t>00223/INFOEM/IP/RR/2019</w:t>
      </w:r>
      <w:r w:rsidR="00185583">
        <w:rPr>
          <w:rFonts w:ascii="Palatino Linotype" w:hAnsi="Palatino Linotype" w:cs="Arial"/>
          <w:sz w:val="24"/>
          <w:szCs w:val="24"/>
        </w:rPr>
        <w:t xml:space="preserve">, en términos del considerando Sexto de la resolución, por lo que se </w:t>
      </w:r>
      <w:r w:rsidR="00C279F1">
        <w:rPr>
          <w:rFonts w:ascii="Palatino Linotype" w:hAnsi="Palatino Linotype" w:cs="Arial"/>
          <w:sz w:val="24"/>
          <w:szCs w:val="24"/>
        </w:rPr>
        <w:t xml:space="preserve">Modifica la respuesta emitida y se </w:t>
      </w:r>
      <w:r w:rsidR="00185583">
        <w:rPr>
          <w:rFonts w:ascii="Palatino Linotype" w:hAnsi="Palatino Linotype" w:cs="Arial"/>
          <w:sz w:val="24"/>
          <w:szCs w:val="24"/>
        </w:rPr>
        <w:t>ordena al sujeto obligado ponga a dispo</w:t>
      </w:r>
      <w:r w:rsidR="00C279F1">
        <w:rPr>
          <w:rFonts w:ascii="Palatino Linotype" w:hAnsi="Palatino Linotype" w:cs="Arial"/>
          <w:sz w:val="24"/>
          <w:szCs w:val="24"/>
        </w:rPr>
        <w:t xml:space="preserve">sición la información referida en el resolutivo tercero.  </w:t>
      </w:r>
    </w:p>
    <w:p w:rsidR="00F14701" w:rsidRPr="003A41AE" w:rsidRDefault="00F14701" w:rsidP="00F14701">
      <w:pPr>
        <w:pStyle w:val="Prrafodelista"/>
        <w:spacing w:before="240" w:after="240" w:line="360" w:lineRule="auto"/>
        <w:ind w:left="0" w:right="49"/>
        <w:jc w:val="both"/>
        <w:rPr>
          <w:rFonts w:ascii="Palatino Linotype" w:hAnsi="Palatino Linotype" w:cs="Arial"/>
          <w:sz w:val="24"/>
          <w:szCs w:val="24"/>
        </w:rPr>
      </w:pPr>
    </w:p>
    <w:p w:rsidR="0046491C" w:rsidRPr="00C27EF9" w:rsidRDefault="0046491C" w:rsidP="006B36D1">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Mi </w:t>
      </w:r>
      <w:r w:rsidR="00D33AF9" w:rsidRPr="00C27EF9">
        <w:rPr>
          <w:rFonts w:ascii="Palatino Linotype" w:hAnsi="Palatino Linotype" w:cs="Arial"/>
          <w:sz w:val="24"/>
          <w:szCs w:val="24"/>
        </w:rPr>
        <w:t>voto</w:t>
      </w:r>
      <w:r w:rsidRPr="00C27E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6B36D1">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Por tal motivo y en términos de lo señalado por los artículos </w:t>
      </w:r>
      <w:r w:rsidR="00AA49F3" w:rsidRPr="00C27EF9">
        <w:rPr>
          <w:rFonts w:ascii="Palatino Linotype" w:hAnsi="Palatino Linotype" w:cs="Arial"/>
          <w:sz w:val="24"/>
          <w:szCs w:val="24"/>
        </w:rPr>
        <w:t>14</w:t>
      </w:r>
      <w:r w:rsidRPr="00C27EF9">
        <w:rPr>
          <w:rFonts w:ascii="Palatino Linotype" w:hAnsi="Palatino Linotype" w:cs="Arial"/>
          <w:sz w:val="24"/>
          <w:szCs w:val="24"/>
        </w:rPr>
        <w:t xml:space="preserve"> fracción </w:t>
      </w:r>
      <w:r w:rsidR="00AA49F3" w:rsidRPr="00C27EF9">
        <w:rPr>
          <w:rFonts w:ascii="Palatino Linotype" w:hAnsi="Palatino Linotype" w:cs="Arial"/>
          <w:sz w:val="24"/>
          <w:szCs w:val="24"/>
        </w:rPr>
        <w:t>XI</w:t>
      </w:r>
      <w:r w:rsidRPr="00C27EF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C27EF9" w:rsidRDefault="0001046D" w:rsidP="00E34F08">
      <w:pPr>
        <w:pStyle w:val="Prrafodelista"/>
        <w:rPr>
          <w:rFonts w:ascii="Palatino Linotype" w:hAnsi="Palatino Linotype" w:cs="Arial"/>
          <w:sz w:val="24"/>
          <w:szCs w:val="24"/>
        </w:rPr>
      </w:pPr>
    </w:p>
    <w:p w:rsidR="0046491C" w:rsidRPr="00C27EF9" w:rsidRDefault="0046491C" w:rsidP="006B36D1">
      <w:pPr>
        <w:pStyle w:val="Ttulo1"/>
        <w:numPr>
          <w:ilvl w:val="0"/>
          <w:numId w:val="12"/>
        </w:numPr>
        <w:spacing w:line="360" w:lineRule="auto"/>
        <w:ind w:left="0" w:firstLine="0"/>
        <w:rPr>
          <w:rFonts w:ascii="Palatino Linotype" w:hAnsi="Palatino Linotype"/>
          <w:b/>
          <w:color w:val="auto"/>
          <w:sz w:val="24"/>
          <w:szCs w:val="24"/>
        </w:rPr>
      </w:pPr>
      <w:bookmarkStart w:id="1" w:name="_Toc535239166"/>
      <w:r w:rsidRPr="00C27EF9">
        <w:rPr>
          <w:rFonts w:ascii="Palatino Linotype" w:hAnsi="Palatino Linotype"/>
          <w:b/>
          <w:color w:val="auto"/>
          <w:sz w:val="24"/>
          <w:szCs w:val="24"/>
        </w:rPr>
        <w:t>De los requerimientos planteados en el recurso de revisión.</w:t>
      </w:r>
      <w:bookmarkEnd w:id="1"/>
    </w:p>
    <w:p w:rsidR="0046491C" w:rsidRPr="00C27EF9" w:rsidRDefault="0046491C" w:rsidP="00C279F1">
      <w:pPr>
        <w:pStyle w:val="Prrafodelista"/>
        <w:tabs>
          <w:tab w:val="left" w:pos="1134"/>
        </w:tabs>
        <w:spacing w:line="360" w:lineRule="auto"/>
        <w:ind w:left="1080" w:firstLine="54"/>
        <w:jc w:val="both"/>
        <w:rPr>
          <w:rFonts w:ascii="Palatino Linotype" w:hAnsi="Palatino Linotype" w:cs="Arial"/>
          <w:sz w:val="24"/>
          <w:szCs w:val="24"/>
        </w:rPr>
      </w:pPr>
    </w:p>
    <w:p w:rsidR="00185583" w:rsidRPr="00185583" w:rsidRDefault="008E1DCC" w:rsidP="00C279F1">
      <w:pPr>
        <w:pStyle w:val="Prrafodelista"/>
        <w:numPr>
          <w:ilvl w:val="0"/>
          <w:numId w:val="1"/>
        </w:numPr>
        <w:tabs>
          <w:tab w:val="left" w:pos="1134"/>
        </w:tabs>
        <w:spacing w:after="0" w:line="360" w:lineRule="auto"/>
        <w:ind w:left="567" w:hanging="567"/>
        <w:jc w:val="both"/>
        <w:rPr>
          <w:rFonts w:ascii="Palatino Linotype" w:eastAsia="Times New Roman" w:hAnsi="Palatino Linotype" w:cs="Times New Roman"/>
          <w:i/>
          <w:sz w:val="24"/>
          <w:szCs w:val="24"/>
          <w:lang w:val="es-ES_tradnl" w:eastAsia="es-ES"/>
        </w:rPr>
      </w:pPr>
      <w:r w:rsidRPr="00C27EF9">
        <w:rPr>
          <w:rFonts w:ascii="Palatino Linotype" w:hAnsi="Palatino Linotype" w:cs="Arial"/>
          <w:sz w:val="24"/>
          <w:szCs w:val="24"/>
        </w:rPr>
        <w:t>El particular</w:t>
      </w:r>
      <w:r w:rsidR="00072CF3">
        <w:rPr>
          <w:rFonts w:ascii="Palatino Linotype" w:hAnsi="Palatino Linotype" w:cs="Arial"/>
          <w:sz w:val="24"/>
          <w:szCs w:val="24"/>
        </w:rPr>
        <w:t xml:space="preserve"> requirió del Instituto Electoral del Estado de México</w:t>
      </w:r>
      <w:r w:rsidR="00A029A4" w:rsidRPr="00C27EF9">
        <w:rPr>
          <w:rFonts w:ascii="Palatino Linotype" w:hAnsi="Palatino Linotype" w:cs="Arial"/>
          <w:b/>
          <w:sz w:val="24"/>
          <w:szCs w:val="24"/>
        </w:rPr>
        <w:t xml:space="preserve"> </w:t>
      </w:r>
      <w:r w:rsidR="00F25783" w:rsidRPr="00C27EF9">
        <w:rPr>
          <w:rFonts w:ascii="Palatino Linotype" w:hAnsi="Palatino Linotype" w:cs="Arial"/>
          <w:sz w:val="24"/>
          <w:szCs w:val="24"/>
        </w:rPr>
        <w:t xml:space="preserve">lo siguiente: </w:t>
      </w:r>
    </w:p>
    <w:p w:rsidR="00854590" w:rsidRPr="00ED2CEE" w:rsidRDefault="00413496" w:rsidP="00ED2CEE">
      <w:pPr>
        <w:pStyle w:val="Prrafodelista"/>
        <w:spacing w:after="0" w:line="360" w:lineRule="auto"/>
        <w:ind w:left="0"/>
        <w:jc w:val="both"/>
        <w:rPr>
          <w:rFonts w:ascii="Palatino Linotype" w:eastAsia="Times New Roman" w:hAnsi="Palatino Linotype" w:cs="Times New Roman"/>
          <w:i/>
          <w:sz w:val="24"/>
          <w:szCs w:val="24"/>
          <w:lang w:val="es-ES_tradnl" w:eastAsia="es-ES"/>
        </w:rPr>
      </w:pPr>
      <w:r w:rsidRPr="00D97434">
        <w:rPr>
          <w:rFonts w:ascii="Palatino Linotype" w:hAnsi="Palatino Linotype" w:cs="Arial"/>
          <w:b/>
          <w:sz w:val="24"/>
          <w:szCs w:val="24"/>
        </w:rPr>
        <w:t xml:space="preserve"> </w:t>
      </w:r>
    </w:p>
    <w:p w:rsidR="00C279F1" w:rsidRPr="009428FB" w:rsidRDefault="00C279F1" w:rsidP="009428FB">
      <w:pPr>
        <w:pStyle w:val="Prrafodelista"/>
        <w:numPr>
          <w:ilvl w:val="0"/>
          <w:numId w:val="21"/>
        </w:numPr>
        <w:spacing w:before="100" w:beforeAutospacing="1" w:after="100" w:afterAutospacing="1" w:line="360" w:lineRule="auto"/>
        <w:ind w:left="567" w:right="757" w:firstLine="0"/>
        <w:jc w:val="both"/>
        <w:rPr>
          <w:rFonts w:ascii="Palatino Linotype" w:eastAsia="Times New Roman" w:hAnsi="Palatino Linotype" w:cs="Times New Roman"/>
          <w:b/>
          <w:bCs/>
          <w:sz w:val="24"/>
          <w:szCs w:val="24"/>
          <w:lang w:eastAsia="es-ES"/>
        </w:rPr>
      </w:pPr>
      <w:r w:rsidRPr="009428FB">
        <w:rPr>
          <w:rFonts w:ascii="Palatino Linotype" w:eastAsia="Times New Roman" w:hAnsi="Palatino Linotype" w:cs="Arial"/>
          <w:b/>
          <w:bCs/>
          <w:sz w:val="24"/>
          <w:szCs w:val="24"/>
          <w:lang w:eastAsia="es-ES"/>
        </w:rPr>
        <w:t>Solicitud de Información 00033/ATIZARA/IP/2019</w:t>
      </w:r>
    </w:p>
    <w:p w:rsidR="009428FB" w:rsidRDefault="00C279F1" w:rsidP="009428FB">
      <w:pPr>
        <w:spacing w:before="100" w:beforeAutospacing="1" w:after="100" w:afterAutospacing="1" w:line="240" w:lineRule="auto"/>
        <w:ind w:left="709" w:right="757"/>
        <w:jc w:val="both"/>
        <w:rPr>
          <w:rFonts w:ascii="Palatino Linotype" w:eastAsia="Times New Roman" w:hAnsi="Palatino Linotype" w:cs="Times New Roman"/>
          <w:i/>
          <w:szCs w:val="24"/>
          <w:lang w:eastAsia="es-ES"/>
        </w:rPr>
      </w:pPr>
      <w:r w:rsidRPr="00C279F1">
        <w:rPr>
          <w:rFonts w:ascii="Palatino Linotype" w:eastAsia="Times New Roman" w:hAnsi="Palatino Linotype" w:cs="Times New Roman"/>
          <w:i/>
          <w:szCs w:val="24"/>
          <w:lang w:eastAsia="es-ES"/>
        </w:rPr>
        <w:t xml:space="preserve">“SOLICITO CONOCER QUIEN ADMINISTRA Y DE DONDE SE PAGA Y EL MONTO QUE SE PAGA Y EL PROVEEDOR DE ESTA LIGA DE REDES SOCIALES https://www.facebook.com/RuthOlveraOficial/ ASÍ COMO CUAL FUE LA MODALIDAD DE CONTRATACIÓN. SI ESTO ES DESDE EL AYUNTAMIENTO DE ATIZAPAN DE ZARAGOZA SOLICITO CONOCER LOS COSTOS DE MANTENIMIENTO, GESTIÓN Y PAGO DE PAUTA ASÍ </w:t>
      </w:r>
      <w:r w:rsidRPr="00C279F1">
        <w:rPr>
          <w:rFonts w:ascii="Palatino Linotype" w:eastAsia="Times New Roman" w:hAnsi="Palatino Linotype" w:cs="Times New Roman"/>
          <w:i/>
          <w:szCs w:val="24"/>
          <w:lang w:eastAsia="es-ES"/>
        </w:rPr>
        <w:lastRenderedPageBreak/>
        <w:t xml:space="preserve">COMO LA CANTIDAD DE PERSONAS Y SUELDOS DE DICHOS PERSONAS QUE LLEVAN A CABO LA PÚBLICACION Y MENTENIENTO DE DICHA RED </w:t>
      </w:r>
      <w:proofErr w:type="spellStart"/>
      <w:r w:rsidRPr="00C279F1">
        <w:rPr>
          <w:rFonts w:ascii="Palatino Linotype" w:eastAsia="Times New Roman" w:hAnsi="Palatino Linotype" w:cs="Times New Roman"/>
          <w:i/>
          <w:szCs w:val="24"/>
          <w:lang w:eastAsia="es-ES"/>
        </w:rPr>
        <w:t>SOCIAL.el</w:t>
      </w:r>
      <w:proofErr w:type="spellEnd"/>
      <w:r w:rsidRPr="00C279F1">
        <w:rPr>
          <w:rFonts w:ascii="Palatino Linotype" w:eastAsia="Times New Roman" w:hAnsi="Palatino Linotype" w:cs="Times New Roman"/>
          <w:i/>
          <w:szCs w:val="24"/>
          <w:lang w:eastAsia="es-ES"/>
        </w:rPr>
        <w:t xml:space="preserve"> periodo del 01 de enero al 21 de noviembre del 2018. </w:t>
      </w:r>
      <w:proofErr w:type="gramStart"/>
      <w:r w:rsidRPr="00C279F1">
        <w:rPr>
          <w:rFonts w:ascii="Palatino Linotype" w:eastAsia="Times New Roman" w:hAnsi="Palatino Linotype" w:cs="Times New Roman"/>
          <w:i/>
          <w:szCs w:val="24"/>
          <w:lang w:eastAsia="es-ES"/>
        </w:rPr>
        <w:t>por</w:t>
      </w:r>
      <w:proofErr w:type="gramEnd"/>
      <w:r w:rsidRPr="00C279F1">
        <w:rPr>
          <w:rFonts w:ascii="Palatino Linotype" w:eastAsia="Times New Roman" w:hAnsi="Palatino Linotype" w:cs="Times New Roman"/>
          <w:i/>
          <w:szCs w:val="24"/>
          <w:lang w:eastAsia="es-ES"/>
        </w:rPr>
        <w:t xml:space="preserve"> su </w:t>
      </w:r>
      <w:proofErr w:type="spellStart"/>
      <w:r w:rsidRPr="00C279F1">
        <w:rPr>
          <w:rFonts w:ascii="Palatino Linotype" w:eastAsia="Times New Roman" w:hAnsi="Palatino Linotype" w:cs="Times New Roman"/>
          <w:i/>
          <w:szCs w:val="24"/>
          <w:lang w:eastAsia="es-ES"/>
        </w:rPr>
        <w:t>informacion</w:t>
      </w:r>
      <w:proofErr w:type="spellEnd"/>
      <w:r w:rsidRPr="00C279F1">
        <w:rPr>
          <w:rFonts w:ascii="Palatino Linotype" w:eastAsia="Times New Roman" w:hAnsi="Palatino Linotype" w:cs="Times New Roman"/>
          <w:i/>
          <w:szCs w:val="24"/>
          <w:lang w:eastAsia="es-ES"/>
        </w:rPr>
        <w:t xml:space="preserve"> GRACIAS.” (Sic)</w:t>
      </w:r>
    </w:p>
    <w:p w:rsidR="009428FB" w:rsidRPr="00C279F1" w:rsidRDefault="009428FB" w:rsidP="009428FB">
      <w:pPr>
        <w:spacing w:before="100" w:beforeAutospacing="1" w:after="100" w:afterAutospacing="1" w:line="240" w:lineRule="auto"/>
        <w:ind w:left="709" w:right="757"/>
        <w:jc w:val="both"/>
        <w:rPr>
          <w:rFonts w:ascii="Palatino Linotype" w:eastAsia="Times New Roman" w:hAnsi="Palatino Linotype" w:cs="Times New Roman"/>
          <w:i/>
          <w:szCs w:val="24"/>
          <w:lang w:eastAsia="es-ES"/>
        </w:rPr>
      </w:pPr>
    </w:p>
    <w:p w:rsidR="00C279F1" w:rsidRPr="009428FB" w:rsidRDefault="00C279F1" w:rsidP="009428FB">
      <w:pPr>
        <w:pStyle w:val="Prrafodelista"/>
        <w:numPr>
          <w:ilvl w:val="0"/>
          <w:numId w:val="21"/>
        </w:numPr>
        <w:spacing w:before="100" w:beforeAutospacing="1" w:after="100" w:afterAutospacing="1" w:line="360" w:lineRule="auto"/>
        <w:ind w:left="567" w:right="757" w:firstLine="0"/>
        <w:jc w:val="both"/>
        <w:rPr>
          <w:rFonts w:ascii="Palatino Linotype" w:eastAsia="Times New Roman" w:hAnsi="Palatino Linotype" w:cs="Times New Roman"/>
          <w:b/>
          <w:bCs/>
          <w:sz w:val="24"/>
          <w:szCs w:val="24"/>
          <w:lang w:eastAsia="es-ES"/>
        </w:rPr>
      </w:pPr>
      <w:r w:rsidRPr="009428FB">
        <w:rPr>
          <w:rFonts w:ascii="Palatino Linotype" w:eastAsia="Times New Roman" w:hAnsi="Palatino Linotype" w:cs="Arial"/>
          <w:b/>
          <w:bCs/>
          <w:sz w:val="24"/>
          <w:szCs w:val="24"/>
          <w:lang w:eastAsia="es-ES"/>
        </w:rPr>
        <w:t>Solicitud de Información 00029/ATIZARA/IP/2019</w:t>
      </w:r>
    </w:p>
    <w:p w:rsidR="00C279F1" w:rsidRPr="00C279F1" w:rsidRDefault="00C279F1" w:rsidP="00C279F1">
      <w:pPr>
        <w:spacing w:before="100" w:beforeAutospacing="1" w:after="100" w:afterAutospacing="1" w:line="240" w:lineRule="auto"/>
        <w:ind w:left="709" w:right="757"/>
        <w:jc w:val="both"/>
        <w:rPr>
          <w:rFonts w:ascii="Palatino Linotype" w:eastAsia="Times New Roman" w:hAnsi="Palatino Linotype" w:cs="Times New Roman"/>
          <w:bCs/>
          <w:i/>
          <w:szCs w:val="24"/>
          <w:lang w:eastAsia="es-ES"/>
        </w:rPr>
      </w:pPr>
      <w:r w:rsidRPr="00C279F1">
        <w:rPr>
          <w:rFonts w:ascii="Palatino Linotype" w:eastAsia="Times New Roman" w:hAnsi="Palatino Linotype" w:cs="Times New Roman"/>
          <w:bCs/>
          <w:i/>
          <w:szCs w:val="24"/>
          <w:lang w:eastAsia="es-ES"/>
        </w:rPr>
        <w:t>“SOLICITO CONOCER QUIEN ADMINISTRA Y DE DONDE SE PAGA Y EL MONTO QUE SE PAGA Y EL PROVEEDOR DE ESTA LIGA DE REDES SOCIALES https://www.facebook.com/AyuntamientoAtizapanZ/ ASÍ COMO CUAL FUE LA MODALIDAD DE CONTRATACIÓN. SI ESTO ES DESDE EL AYUNTAMIENTO DE ATIZAPAN DE ZARAGOZA SOLICITO CONOCER LOS COSTOS DE MANTENIMIENTO, GESTIÓN Y PAGO DE PAUTA ASÍ COMO LA CANTIDAD DE PERSONAS Y SUELDOS DE DICHOS PERSONAS QUE LLEVAN A CABO LA PÚBLICACION Y MENTENIENTO DE DICHA RED SOCIAL.” (Sic)</w:t>
      </w:r>
    </w:p>
    <w:p w:rsidR="00854590" w:rsidRPr="00072CF3" w:rsidRDefault="00854590" w:rsidP="00072CF3">
      <w:pPr>
        <w:tabs>
          <w:tab w:val="left" w:pos="4667"/>
        </w:tabs>
        <w:spacing w:after="0" w:line="360" w:lineRule="auto"/>
        <w:ind w:left="567" w:right="567"/>
        <w:jc w:val="both"/>
        <w:rPr>
          <w:rFonts w:ascii="Palatino Linotype" w:eastAsia="Times New Roman" w:hAnsi="Palatino Linotype" w:cs="Tahoma"/>
          <w:bCs/>
          <w:i/>
          <w:lang w:eastAsia="es-ES"/>
        </w:rPr>
      </w:pPr>
    </w:p>
    <w:p w:rsidR="0007467A" w:rsidRPr="00627860" w:rsidRDefault="00AE4797" w:rsidP="0007467A">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07467A">
        <w:rPr>
          <w:rFonts w:ascii="Palatino Linotype" w:hAnsi="Palatino Linotype" w:cs="Arial"/>
          <w:sz w:val="24"/>
          <w:szCs w:val="24"/>
        </w:rPr>
        <w:t xml:space="preserve">El Sujeto Obligado </w:t>
      </w:r>
      <w:r w:rsidR="0007467A" w:rsidRPr="0007467A">
        <w:rPr>
          <w:rFonts w:ascii="Palatino Linotype" w:hAnsi="Palatino Linotype" w:cs="Arial"/>
          <w:sz w:val="24"/>
          <w:szCs w:val="24"/>
        </w:rPr>
        <w:t xml:space="preserve">dio respuesta a las solicitudes de información </w:t>
      </w:r>
      <w:r w:rsidR="00444048" w:rsidRPr="0007467A">
        <w:rPr>
          <w:rFonts w:ascii="Palatino Linotype" w:hAnsi="Palatino Linotype" w:cs="Arial"/>
          <w:sz w:val="24"/>
          <w:szCs w:val="24"/>
        </w:rPr>
        <w:t>mediante</w:t>
      </w:r>
      <w:r w:rsidR="0007467A" w:rsidRPr="0007467A">
        <w:rPr>
          <w:rFonts w:ascii="Palatino Linotype" w:hAnsi="Palatino Linotype" w:cs="Arial"/>
          <w:sz w:val="24"/>
          <w:szCs w:val="24"/>
        </w:rPr>
        <w:t xml:space="preserve"> los </w:t>
      </w:r>
      <w:r w:rsidR="00854590" w:rsidRPr="0007467A">
        <w:rPr>
          <w:rFonts w:ascii="Palatino Linotype" w:hAnsi="Palatino Linotype" w:cs="Arial"/>
          <w:sz w:val="24"/>
          <w:szCs w:val="24"/>
        </w:rPr>
        <w:t>escrito</w:t>
      </w:r>
      <w:r w:rsidR="0007467A" w:rsidRPr="0007467A">
        <w:rPr>
          <w:rFonts w:ascii="Palatino Linotype" w:hAnsi="Palatino Linotype" w:cs="Arial"/>
          <w:sz w:val="24"/>
          <w:szCs w:val="24"/>
        </w:rPr>
        <w:t>s</w:t>
      </w:r>
      <w:r w:rsidR="00854590" w:rsidRPr="0007467A">
        <w:rPr>
          <w:rFonts w:ascii="Palatino Linotype" w:hAnsi="Palatino Linotype" w:cs="Arial"/>
          <w:sz w:val="24"/>
          <w:szCs w:val="24"/>
        </w:rPr>
        <w:t xml:space="preserve"> siguiente</w:t>
      </w:r>
      <w:r w:rsidR="0007467A" w:rsidRPr="0007467A">
        <w:rPr>
          <w:rFonts w:ascii="Palatino Linotype" w:hAnsi="Palatino Linotype" w:cs="Arial"/>
          <w:sz w:val="24"/>
          <w:szCs w:val="24"/>
        </w:rPr>
        <w:t xml:space="preserve">s: </w:t>
      </w:r>
      <w:r w:rsidR="00854590" w:rsidRPr="0007467A">
        <w:rPr>
          <w:rFonts w:ascii="Palatino Linotype" w:hAnsi="Palatino Linotype" w:cs="Arial"/>
          <w:sz w:val="24"/>
          <w:szCs w:val="24"/>
        </w:rPr>
        <w:t xml:space="preserve"> </w:t>
      </w:r>
    </w:p>
    <w:p w:rsidR="00627860" w:rsidRPr="00627860" w:rsidRDefault="00627860" w:rsidP="00627860">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07467A" w:rsidRPr="0007467A" w:rsidRDefault="0007467A" w:rsidP="0007467A">
      <w:pPr>
        <w:pStyle w:val="Prrafodelista"/>
        <w:numPr>
          <w:ilvl w:val="0"/>
          <w:numId w:val="20"/>
        </w:numPr>
        <w:spacing w:before="100" w:beforeAutospacing="1" w:after="100" w:afterAutospacing="1" w:line="360" w:lineRule="auto"/>
        <w:ind w:left="567" w:right="757" w:firstLine="0"/>
        <w:jc w:val="both"/>
        <w:rPr>
          <w:rFonts w:ascii="Palatino Linotype" w:eastAsia="Times New Roman" w:hAnsi="Palatino Linotype" w:cs="Arial"/>
          <w:b/>
          <w:bCs/>
          <w:sz w:val="24"/>
          <w:szCs w:val="24"/>
          <w:lang w:eastAsia="es-ES"/>
        </w:rPr>
      </w:pPr>
      <w:r w:rsidRPr="0007467A">
        <w:rPr>
          <w:rFonts w:ascii="Palatino Linotype" w:eastAsia="Times New Roman" w:hAnsi="Palatino Linotype" w:cs="Arial"/>
          <w:b/>
          <w:bCs/>
          <w:sz w:val="24"/>
          <w:szCs w:val="24"/>
          <w:lang w:eastAsia="es-ES"/>
        </w:rPr>
        <w:t>Respuesta a la Solicitud de Información 00033/ATIZARA/IP/2019:</w:t>
      </w:r>
    </w:p>
    <w:p w:rsidR="0007467A" w:rsidRPr="0007467A" w:rsidRDefault="0007467A" w:rsidP="00627860">
      <w:pPr>
        <w:spacing w:after="0" w:line="240" w:lineRule="auto"/>
        <w:ind w:left="567" w:right="616"/>
        <w:jc w:val="right"/>
        <w:rPr>
          <w:rFonts w:ascii="Palatino Linotype" w:eastAsia="Times New Roman" w:hAnsi="Palatino Linotype" w:cs="Arial"/>
          <w:bCs/>
          <w:i/>
          <w:sz w:val="24"/>
          <w:szCs w:val="24"/>
          <w:lang w:eastAsia="es-ES"/>
        </w:rPr>
      </w:pPr>
      <w:r>
        <w:rPr>
          <w:rFonts w:ascii="Palatino Linotype" w:eastAsia="Times New Roman" w:hAnsi="Palatino Linotype" w:cs="Arial"/>
          <w:bCs/>
          <w:i/>
          <w:sz w:val="24"/>
          <w:szCs w:val="24"/>
          <w:lang w:eastAsia="es-ES"/>
        </w:rPr>
        <w:t>“</w:t>
      </w:r>
      <w:r w:rsidRPr="0007467A">
        <w:rPr>
          <w:rFonts w:ascii="Palatino Linotype" w:eastAsia="Times New Roman" w:hAnsi="Palatino Linotype" w:cs="Arial"/>
          <w:bCs/>
          <w:i/>
          <w:sz w:val="24"/>
          <w:szCs w:val="24"/>
          <w:lang w:eastAsia="es-ES"/>
        </w:rPr>
        <w:t>Atizapán de Zaragoza, México a 23 de Enero de 2019</w:t>
      </w:r>
    </w:p>
    <w:p w:rsidR="0007467A" w:rsidRPr="0007467A" w:rsidRDefault="0007467A" w:rsidP="00627860">
      <w:pPr>
        <w:spacing w:after="0" w:line="240" w:lineRule="auto"/>
        <w:ind w:left="567" w:right="616"/>
        <w:jc w:val="right"/>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 xml:space="preserve">Nombre del solicitante: </w:t>
      </w:r>
      <w:r w:rsidR="000577B7" w:rsidRPr="000577B7">
        <w:rPr>
          <w:rFonts w:ascii="Palatino Linotype" w:eastAsia="Times New Roman" w:hAnsi="Palatino Linotype" w:cs="Arial"/>
          <w:bCs/>
          <w:i/>
          <w:sz w:val="24"/>
          <w:szCs w:val="24"/>
          <w:highlight w:val="black"/>
          <w:lang w:eastAsia="es-ES"/>
        </w:rPr>
        <w:t>----------------------------------------------------------</w:t>
      </w:r>
    </w:p>
    <w:p w:rsidR="0007467A" w:rsidRPr="0007467A" w:rsidRDefault="0007467A" w:rsidP="00627860">
      <w:pPr>
        <w:spacing w:after="0" w:line="240" w:lineRule="auto"/>
        <w:ind w:left="567" w:right="616"/>
        <w:jc w:val="right"/>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Folio de la solicitud: 00033/ATIZARA/IP/2019</w:t>
      </w:r>
    </w:p>
    <w:p w:rsidR="0007467A" w:rsidRPr="0007467A" w:rsidRDefault="0007467A" w:rsidP="0007467A">
      <w:pPr>
        <w:spacing w:before="100" w:beforeAutospacing="1" w:after="100" w:afterAutospacing="1" w:line="240" w:lineRule="auto"/>
        <w:ind w:left="567" w:right="616"/>
        <w:jc w:val="both"/>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 xml:space="preserve">En respuesta a la solicitud recibida, nos permitimos hacer de su conocimiento que con fundamento en el artículo 53, Fracciones: II, V y VI de la Ley de </w:t>
      </w:r>
      <w:r w:rsidRPr="0007467A">
        <w:rPr>
          <w:rFonts w:ascii="Palatino Linotype" w:eastAsia="Times New Roman" w:hAnsi="Palatino Linotype" w:cs="Arial"/>
          <w:bCs/>
          <w:i/>
          <w:sz w:val="24"/>
          <w:szCs w:val="24"/>
          <w:lang w:eastAsia="es-ES"/>
        </w:rPr>
        <w:lastRenderedPageBreak/>
        <w:t>Transparencia y Acceso a la Información Pública del Estado de México y Municipios, le contestamos que:</w:t>
      </w:r>
    </w:p>
    <w:p w:rsidR="0007467A" w:rsidRPr="0007467A" w:rsidRDefault="0007467A" w:rsidP="0007467A">
      <w:pPr>
        <w:spacing w:before="100" w:beforeAutospacing="1" w:after="100" w:afterAutospacing="1" w:line="240" w:lineRule="auto"/>
        <w:ind w:left="567" w:right="616"/>
        <w:jc w:val="both"/>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En atención a la solicitud de información con número de folio 00033/ATIZARA/IP/2019, ingresada a través del Sistema de Acceso a la Información Mexiquense SAIMEX, donde solicita lo siguiente: “SOLICITO CONOCER QUIEN ADMINISTRA Y DE DONDE SE PAGA Y EL MONTO QUE SE PAGA Y EL PROVEEDOR DE ESTA LIGA DE REDES SOCIALES https://www.facebook.com/RuthOlveraOficial/ ASÍ COMO CUAL FUE LA MODALIDAD DE CONTRATACIÓN. SI ESTO ES DESDE EL AYUNTAMIENTO DE ATIZAPAN DE ZARAGOZA SOLICITO CONOCER LOS COSTOS DE MANTENIMIENTO, GESTIÓN Y PAGO DE PAUTA ASÍ COMO LA CANTIDAD DE PERSONAS Y SUELDOS DE DICHOS PERSONAS QUE LLEVAN A CABO LA PÚBLICACION Y MENTENIENTO DE DICHA RED SOCIAL”, (sic). Con fundamento en el artículo 59 de la Ley de Transparencia y Acceso a la Información Pública del Estado de México y Municipios y en atención a la solicitud de información pública, al respecto me permito informarle que la Dirección de Comunicación Institucional y Relaciones Públicas es quien administra la página de Facebook Ruth Olvera Nieto, por lo que no hay costos de mantenimiento. Está página de redes sociales es administrada por 2 personas adscritas a la Dirección de Comunicación Institucional y Relaciones Públicas, con un sueldo de 15 mil pesos cada una. Atentamente, Dirección de Comunicación Institucional y Relaciones Públicas H. Ayuntamiento de Atizapán de Zaragoza</w:t>
      </w:r>
    </w:p>
    <w:p w:rsidR="0007467A" w:rsidRPr="0007467A" w:rsidRDefault="0007467A" w:rsidP="0007467A">
      <w:pPr>
        <w:spacing w:before="100" w:beforeAutospacing="1" w:after="100" w:afterAutospacing="1" w:line="240" w:lineRule="auto"/>
        <w:ind w:left="567" w:right="616"/>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ATENTAMENTE</w:t>
      </w:r>
    </w:p>
    <w:p w:rsidR="0007467A" w:rsidRPr="0007467A" w:rsidRDefault="0007467A" w:rsidP="00627860">
      <w:pPr>
        <w:spacing w:before="100" w:beforeAutospacing="1" w:after="100" w:afterAutospacing="1" w:line="240" w:lineRule="auto"/>
        <w:ind w:left="567" w:right="616"/>
        <w:rPr>
          <w:rFonts w:ascii="Palatino Linotype" w:eastAsia="Times New Roman" w:hAnsi="Palatino Linotype" w:cs="Arial"/>
          <w:bCs/>
          <w:i/>
          <w:sz w:val="24"/>
          <w:szCs w:val="24"/>
          <w:lang w:eastAsia="es-ES"/>
        </w:rPr>
      </w:pPr>
      <w:r w:rsidRPr="0007467A">
        <w:rPr>
          <w:rFonts w:ascii="Palatino Linotype" w:eastAsia="Times New Roman" w:hAnsi="Palatino Linotype" w:cs="Arial"/>
          <w:bCs/>
          <w:i/>
          <w:sz w:val="24"/>
          <w:szCs w:val="24"/>
          <w:lang w:eastAsia="es-ES"/>
        </w:rPr>
        <w:t>C. CESAR VILLAFAN JARAMILLO</w:t>
      </w:r>
      <w:r>
        <w:rPr>
          <w:rFonts w:ascii="Palatino Linotype" w:eastAsia="Times New Roman" w:hAnsi="Palatino Linotype" w:cs="Arial"/>
          <w:bCs/>
          <w:i/>
          <w:sz w:val="24"/>
          <w:szCs w:val="24"/>
          <w:lang w:eastAsia="es-ES"/>
        </w:rPr>
        <w:t>” (Sic)</w:t>
      </w:r>
    </w:p>
    <w:p w:rsidR="0007467A" w:rsidRPr="0007467A" w:rsidRDefault="0007467A" w:rsidP="0007467A">
      <w:pPr>
        <w:pStyle w:val="Prrafodelista"/>
        <w:numPr>
          <w:ilvl w:val="0"/>
          <w:numId w:val="19"/>
        </w:numPr>
        <w:spacing w:before="100" w:beforeAutospacing="1" w:after="100" w:afterAutospacing="1" w:line="360" w:lineRule="auto"/>
        <w:ind w:left="567" w:right="757" w:firstLine="0"/>
        <w:jc w:val="both"/>
        <w:rPr>
          <w:rFonts w:ascii="Palatino Linotype" w:eastAsia="Times New Roman" w:hAnsi="Palatino Linotype" w:cs="Times New Roman"/>
          <w:b/>
          <w:bCs/>
          <w:sz w:val="24"/>
          <w:szCs w:val="24"/>
          <w:lang w:eastAsia="es-ES"/>
        </w:rPr>
      </w:pPr>
      <w:r w:rsidRPr="0007467A">
        <w:rPr>
          <w:rFonts w:ascii="Palatino Linotype" w:eastAsia="Times New Roman" w:hAnsi="Palatino Linotype" w:cs="Arial"/>
          <w:b/>
          <w:bCs/>
          <w:sz w:val="24"/>
          <w:szCs w:val="24"/>
          <w:lang w:eastAsia="es-ES"/>
        </w:rPr>
        <w:t>Respuesta a la Solicitud de Información 0029/ATIZARA/IP/2019</w:t>
      </w:r>
    </w:p>
    <w:p w:rsidR="0007467A" w:rsidRPr="0007467A" w:rsidRDefault="0007467A" w:rsidP="0007467A">
      <w:pPr>
        <w:spacing w:after="0" w:line="240" w:lineRule="auto"/>
        <w:ind w:left="3402" w:right="616" w:hanging="567"/>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“Atizapán de Zaragoza, México a 23 de Enero de 2019</w:t>
      </w:r>
    </w:p>
    <w:p w:rsidR="0007467A" w:rsidRPr="0007467A" w:rsidRDefault="0007467A" w:rsidP="0007467A">
      <w:pPr>
        <w:pStyle w:val="Prrafodelista"/>
        <w:spacing w:after="0" w:line="240" w:lineRule="auto"/>
        <w:ind w:right="616"/>
        <w:jc w:val="right"/>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 xml:space="preserve">Nombre del solicitante: </w:t>
      </w:r>
      <w:r w:rsidR="00604834" w:rsidRPr="00604834">
        <w:rPr>
          <w:rFonts w:ascii="Palatino Linotype" w:eastAsia="Times New Roman" w:hAnsi="Palatino Linotype" w:cs="Times New Roman"/>
          <w:i/>
          <w:sz w:val="24"/>
          <w:szCs w:val="24"/>
          <w:highlight w:val="black"/>
          <w:lang w:val="es-ES_tradnl" w:eastAsia="es-ES"/>
        </w:rPr>
        <w:t>----------------------------------------------------------</w:t>
      </w:r>
    </w:p>
    <w:p w:rsidR="0007467A" w:rsidRDefault="0007467A" w:rsidP="0007467A">
      <w:pPr>
        <w:pStyle w:val="Prrafodelista"/>
        <w:spacing w:after="0" w:line="240" w:lineRule="auto"/>
        <w:ind w:right="616"/>
        <w:jc w:val="right"/>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Folio de la solicitud: 00029/ATIZARA/IP/2019</w:t>
      </w:r>
    </w:p>
    <w:p w:rsidR="0007467A" w:rsidRPr="0007467A" w:rsidRDefault="0007467A" w:rsidP="0007467A">
      <w:pPr>
        <w:pStyle w:val="Prrafodelista"/>
        <w:spacing w:after="0" w:line="240" w:lineRule="auto"/>
        <w:ind w:right="616"/>
        <w:jc w:val="right"/>
        <w:rPr>
          <w:rFonts w:ascii="Palatino Linotype" w:eastAsia="Times New Roman" w:hAnsi="Palatino Linotype" w:cs="Times New Roman"/>
          <w:i/>
          <w:sz w:val="24"/>
          <w:szCs w:val="24"/>
          <w:lang w:val="es-ES_tradnl" w:eastAsia="es-ES"/>
        </w:rPr>
      </w:pPr>
    </w:p>
    <w:p w:rsidR="0007467A" w:rsidRDefault="0007467A" w:rsidP="0007467A">
      <w:pPr>
        <w:pStyle w:val="Prrafodelista"/>
        <w:spacing w:after="0" w:line="240" w:lineRule="auto"/>
        <w:ind w:right="616"/>
        <w:jc w:val="both"/>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467A" w:rsidRPr="0007467A" w:rsidRDefault="0007467A" w:rsidP="0007467A">
      <w:pPr>
        <w:pStyle w:val="Prrafodelista"/>
        <w:spacing w:after="0" w:line="240" w:lineRule="auto"/>
        <w:ind w:right="616"/>
        <w:jc w:val="both"/>
        <w:rPr>
          <w:rFonts w:ascii="Palatino Linotype" w:eastAsia="Times New Roman" w:hAnsi="Palatino Linotype" w:cs="Times New Roman"/>
          <w:i/>
          <w:sz w:val="24"/>
          <w:szCs w:val="24"/>
          <w:lang w:val="es-ES_tradnl" w:eastAsia="es-ES"/>
        </w:rPr>
      </w:pPr>
    </w:p>
    <w:p w:rsidR="0007467A" w:rsidRDefault="0007467A" w:rsidP="0007467A">
      <w:pPr>
        <w:pStyle w:val="Prrafodelista"/>
        <w:spacing w:after="0" w:line="240" w:lineRule="auto"/>
        <w:ind w:right="616"/>
        <w:jc w:val="both"/>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En atención a la solicitud de información con número de folio 00029/ATIZARA/IP/2019, ingresada a través del Sistema de Acceso a la Información Mexiquense SAIMEX, donde solicita lo siguiente: “SOLICITO CONOCER QUIEN ADMINISTRA Y DE DONDE SE PAGA Y EL MONTO QUE SE PAGA Y EL PROVEEDOR DE ESTA LIGA DE REDES SOCIALES https://www.facebook.com/AyuntamientoAtizapanZ/ ASÍ COMO CUAL FUE LA MODALIDAD DE CONTRATACIÓN. SI ESTO ES DESDE EL AYUNTAMIENTO DE ATIZAPAN DE ZARAGOZA SOLICITO CONOCER LOS COSTOS DE MANTENIMIENTO, GESTIÓN Y PAGO DE PAUTA ASÍ COMO LA CANTIDAD DE PERSONAS Y SUELDOS DE DICHOS PERSONAS QUE LLEVAN A CABO LA PÚBLICACION Y MENTENIENTO DE DICHA RED SOCIAL” (sic). Con fundamento en el artículo 59 de la Ley de Transparencia y Acceso a la Información Pública del Estado de México y Municipios y en atención a la solicitud de información pública, al respecto me permito informarle que la Dirección de Comunicación Institucional y Relaciones Públicas es quien administra la página de Facebook H. Ayuntamiento Atizapán de Zaragoza, por lo que no hay costos de mantenimiento. Está página de redes sociales es administrada por 2 personas adscritas a la Dirección de Comunicación Institucional y Relaciones Públicas, una con un sueldo de 26 mil pesos y otra con un sueldo de 12 mil pesos. Atentamente, Dirección de Comunicación Institucional y Relaciones Públicas H. Ayuntamiento de Atizapán de Zaragoza</w:t>
      </w:r>
    </w:p>
    <w:p w:rsidR="0007467A" w:rsidRPr="0007467A" w:rsidRDefault="0007467A" w:rsidP="0007467A">
      <w:pPr>
        <w:pStyle w:val="Prrafodelista"/>
        <w:spacing w:after="0" w:line="240" w:lineRule="auto"/>
        <w:ind w:left="851" w:right="616" w:hanging="131"/>
        <w:rPr>
          <w:rFonts w:ascii="Palatino Linotype" w:eastAsia="Times New Roman" w:hAnsi="Palatino Linotype" w:cs="Times New Roman"/>
          <w:i/>
          <w:sz w:val="24"/>
          <w:szCs w:val="24"/>
          <w:lang w:val="es-ES_tradnl" w:eastAsia="es-ES"/>
        </w:rPr>
      </w:pPr>
    </w:p>
    <w:p w:rsidR="0007467A" w:rsidRPr="0007467A" w:rsidRDefault="0007467A" w:rsidP="0007467A">
      <w:pPr>
        <w:pStyle w:val="Prrafodelista"/>
        <w:spacing w:after="0" w:line="240" w:lineRule="auto"/>
        <w:ind w:left="851" w:right="616" w:hanging="131"/>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ATENTAMENTE</w:t>
      </w:r>
    </w:p>
    <w:p w:rsidR="0007467A" w:rsidRDefault="0007467A" w:rsidP="0007467A">
      <w:pPr>
        <w:pStyle w:val="Prrafodelista"/>
        <w:spacing w:after="0" w:line="240" w:lineRule="auto"/>
        <w:ind w:left="851" w:right="616" w:hanging="131"/>
        <w:rPr>
          <w:rFonts w:ascii="Palatino Linotype" w:eastAsia="Times New Roman" w:hAnsi="Palatino Linotype" w:cs="Times New Roman"/>
          <w:i/>
          <w:sz w:val="24"/>
          <w:szCs w:val="24"/>
          <w:lang w:val="es-ES_tradnl" w:eastAsia="es-ES"/>
        </w:rPr>
      </w:pPr>
      <w:r w:rsidRPr="0007467A">
        <w:rPr>
          <w:rFonts w:ascii="Palatino Linotype" w:eastAsia="Times New Roman" w:hAnsi="Palatino Linotype" w:cs="Times New Roman"/>
          <w:i/>
          <w:sz w:val="24"/>
          <w:szCs w:val="24"/>
          <w:lang w:val="es-ES_tradnl" w:eastAsia="es-ES"/>
        </w:rPr>
        <w:t>C. CESAR VILLAFAN JARAMILLO</w:t>
      </w:r>
      <w:r>
        <w:rPr>
          <w:rFonts w:ascii="Palatino Linotype" w:eastAsia="Times New Roman" w:hAnsi="Palatino Linotype" w:cs="Times New Roman"/>
          <w:i/>
          <w:sz w:val="24"/>
          <w:szCs w:val="24"/>
          <w:lang w:val="es-ES_tradnl" w:eastAsia="es-ES"/>
        </w:rPr>
        <w:t>” (Sic)</w:t>
      </w:r>
    </w:p>
    <w:p w:rsidR="0007467A" w:rsidRPr="00C27EF9" w:rsidRDefault="0007467A" w:rsidP="0007467A">
      <w:pPr>
        <w:pStyle w:val="Prrafodelista"/>
        <w:spacing w:after="0" w:line="360" w:lineRule="auto"/>
        <w:ind w:left="851" w:hanging="131"/>
        <w:rPr>
          <w:rFonts w:ascii="Palatino Linotype" w:eastAsia="Times New Roman" w:hAnsi="Palatino Linotype" w:cs="Times New Roman"/>
          <w:i/>
          <w:sz w:val="24"/>
          <w:szCs w:val="24"/>
          <w:lang w:val="es-ES_tradnl" w:eastAsia="es-ES"/>
        </w:rPr>
      </w:pPr>
    </w:p>
    <w:p w:rsidR="00444048" w:rsidRDefault="0046491C" w:rsidP="00B601AF">
      <w:pPr>
        <w:pStyle w:val="Prrafodelista"/>
        <w:numPr>
          <w:ilvl w:val="0"/>
          <w:numId w:val="1"/>
        </w:numPr>
        <w:spacing w:before="240" w:after="240" w:line="360" w:lineRule="auto"/>
        <w:ind w:left="0" w:firstLine="0"/>
        <w:jc w:val="both"/>
        <w:rPr>
          <w:rFonts w:ascii="Palatino Linotype" w:hAnsi="Palatino Linotype" w:cs="Arial"/>
          <w:sz w:val="24"/>
          <w:szCs w:val="24"/>
        </w:rPr>
      </w:pPr>
      <w:r w:rsidRPr="00B601AF">
        <w:rPr>
          <w:rFonts w:ascii="Palatino Linotype" w:hAnsi="Palatino Linotype" w:cs="Arial"/>
          <w:sz w:val="24"/>
          <w:szCs w:val="24"/>
        </w:rPr>
        <w:lastRenderedPageBreak/>
        <w:t>En ese sentido,</w:t>
      </w:r>
      <w:r w:rsidRPr="00B601AF">
        <w:rPr>
          <w:rFonts w:ascii="Palatino Linotype" w:hAnsi="Palatino Linotype" w:cs="Arial"/>
          <w:b/>
          <w:sz w:val="24"/>
          <w:szCs w:val="24"/>
        </w:rPr>
        <w:t xml:space="preserve"> </w:t>
      </w:r>
      <w:r w:rsidR="00AE4797" w:rsidRPr="00B601AF">
        <w:rPr>
          <w:rFonts w:ascii="Palatino Linotype" w:hAnsi="Palatino Linotype" w:cs="Arial"/>
          <w:sz w:val="24"/>
          <w:szCs w:val="24"/>
        </w:rPr>
        <w:t>el particular</w:t>
      </w:r>
      <w:r w:rsidR="005F3760" w:rsidRPr="00B601AF">
        <w:rPr>
          <w:rFonts w:ascii="Palatino Linotype" w:hAnsi="Palatino Linotype" w:cs="Arial"/>
          <w:sz w:val="24"/>
          <w:szCs w:val="24"/>
        </w:rPr>
        <w:t xml:space="preserve"> en sus motivos de inconformidad, ya no se duele por la totalidad de la información que le fue propo</w:t>
      </w:r>
      <w:r w:rsidR="00A677FE">
        <w:rPr>
          <w:rFonts w:ascii="Palatino Linotype" w:hAnsi="Palatino Linotype" w:cs="Arial"/>
          <w:sz w:val="24"/>
          <w:szCs w:val="24"/>
        </w:rPr>
        <w:t xml:space="preserve">rcionada, se queja únicamente de </w:t>
      </w:r>
      <w:r w:rsidR="00627860">
        <w:rPr>
          <w:rFonts w:ascii="Palatino Linotype" w:hAnsi="Palatino Linotype" w:cs="Arial"/>
          <w:sz w:val="24"/>
          <w:szCs w:val="24"/>
        </w:rPr>
        <w:t xml:space="preserve">que no se detallaron los costos de mantenimiento de las cuentas de redes sociales. </w:t>
      </w:r>
    </w:p>
    <w:p w:rsidR="00B601AF" w:rsidRPr="00B601AF" w:rsidRDefault="00B601AF" w:rsidP="00B601AF">
      <w:pPr>
        <w:pStyle w:val="Prrafodelista"/>
        <w:spacing w:before="240" w:after="240" w:line="360" w:lineRule="auto"/>
        <w:ind w:left="360"/>
        <w:jc w:val="both"/>
        <w:rPr>
          <w:rFonts w:ascii="Palatino Linotype" w:hAnsi="Palatino Linotype" w:cs="Arial"/>
          <w:sz w:val="24"/>
          <w:szCs w:val="24"/>
        </w:rPr>
      </w:pPr>
    </w:p>
    <w:p w:rsidR="00B601AF" w:rsidRDefault="0046491C" w:rsidP="00B601AF">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Si bien es de destacar, </w:t>
      </w:r>
      <w:r w:rsidR="00C91360" w:rsidRPr="00C27EF9">
        <w:rPr>
          <w:rFonts w:ascii="Palatino Linotype" w:hAnsi="Palatino Linotype" w:cs="Arial"/>
          <w:sz w:val="24"/>
          <w:szCs w:val="24"/>
        </w:rPr>
        <w:t xml:space="preserve">que </w:t>
      </w:r>
      <w:r w:rsidR="005F3760" w:rsidRPr="00C27EF9">
        <w:rPr>
          <w:rFonts w:ascii="Palatino Linotype" w:hAnsi="Palatino Linotype" w:cs="Arial"/>
          <w:sz w:val="24"/>
          <w:szCs w:val="24"/>
        </w:rPr>
        <w:t xml:space="preserve">el Sujeto Obligado </w:t>
      </w:r>
      <w:r w:rsidR="004C76D7" w:rsidRPr="00C27EF9">
        <w:rPr>
          <w:rFonts w:ascii="Palatino Linotype" w:hAnsi="Palatino Linotype" w:cs="Arial"/>
          <w:sz w:val="24"/>
          <w:szCs w:val="24"/>
        </w:rPr>
        <w:t>pretende atender</w:t>
      </w:r>
      <w:r w:rsidR="005F3760" w:rsidRPr="00C27EF9">
        <w:rPr>
          <w:rFonts w:ascii="Palatino Linotype" w:hAnsi="Palatino Linotype" w:cs="Arial"/>
          <w:sz w:val="24"/>
          <w:szCs w:val="24"/>
        </w:rPr>
        <w:t xml:space="preserve">  la solicitud</w:t>
      </w:r>
      <w:r w:rsidR="002921DD" w:rsidRPr="00C27EF9">
        <w:rPr>
          <w:rFonts w:ascii="Palatino Linotype" w:hAnsi="Palatino Linotype" w:cs="Arial"/>
          <w:sz w:val="24"/>
          <w:szCs w:val="24"/>
        </w:rPr>
        <w:t xml:space="preserve"> de información realizada</w:t>
      </w:r>
      <w:r w:rsidR="00AE4797" w:rsidRPr="00C27EF9">
        <w:rPr>
          <w:rFonts w:ascii="Palatino Linotype" w:hAnsi="Palatino Linotype" w:cs="Arial"/>
          <w:sz w:val="24"/>
          <w:szCs w:val="24"/>
        </w:rPr>
        <w:t xml:space="preserve">, </w:t>
      </w:r>
      <w:r w:rsidRPr="00C27EF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D97434" w:rsidRPr="00D97434" w:rsidRDefault="00D97434" w:rsidP="00D97434">
      <w:pPr>
        <w:pStyle w:val="Prrafodelista"/>
        <w:spacing w:after="0" w:line="360" w:lineRule="auto"/>
        <w:ind w:left="0"/>
        <w:jc w:val="both"/>
        <w:rPr>
          <w:rFonts w:ascii="Palatino Linotype" w:hAnsi="Palatino Linotype" w:cs="Arial"/>
          <w:sz w:val="24"/>
          <w:szCs w:val="24"/>
        </w:rPr>
      </w:pPr>
    </w:p>
    <w:p w:rsidR="00627860" w:rsidRPr="00627860" w:rsidRDefault="0069498B" w:rsidP="00627860">
      <w:pPr>
        <w:tabs>
          <w:tab w:val="left" w:pos="4962"/>
        </w:tabs>
        <w:spacing w:line="276" w:lineRule="auto"/>
        <w:ind w:left="567" w:right="616"/>
        <w:jc w:val="both"/>
        <w:rPr>
          <w:rFonts w:ascii="Palatino Linotype" w:hAnsi="Palatino Linotype" w:cs="Arial"/>
          <w:i/>
        </w:rPr>
      </w:pPr>
      <w:r w:rsidRPr="00B601AF">
        <w:rPr>
          <w:rFonts w:ascii="Palatino Linotype" w:hAnsi="Palatino Linotype" w:cs="Arial"/>
          <w:i/>
        </w:rPr>
        <w:t>“</w:t>
      </w:r>
      <w:r w:rsidR="00627860" w:rsidRPr="00627860">
        <w:rPr>
          <w:rFonts w:ascii="Palatino Linotype" w:hAnsi="Palatino Linotype" w:cs="Arial"/>
          <w:i/>
        </w:rPr>
        <w:t xml:space="preserve">Primeramente, cabe señalar que </w:t>
      </w:r>
      <w:r w:rsidR="00627860" w:rsidRPr="00627860">
        <w:rPr>
          <w:rFonts w:ascii="Palatino Linotype" w:hAnsi="Palatino Linotype" w:cs="Arial"/>
          <w:b/>
          <w:i/>
        </w:rPr>
        <w:t>EL RECURRENTE</w:t>
      </w:r>
      <w:r w:rsidR="00627860" w:rsidRPr="00627860">
        <w:rPr>
          <w:rFonts w:ascii="Palatino Linotype" w:hAnsi="Palatino Linotype" w:cs="Arial"/>
          <w:i/>
        </w:rPr>
        <w:t xml:space="preserve"> no impugnó todos los rubros vertidos como respuesta por parte del </w:t>
      </w:r>
      <w:r w:rsidR="00627860" w:rsidRPr="00627860">
        <w:rPr>
          <w:rFonts w:ascii="Palatino Linotype" w:hAnsi="Palatino Linotype" w:cs="Arial"/>
          <w:b/>
          <w:i/>
        </w:rPr>
        <w:t>SUJETO OBLIGADO</w:t>
      </w:r>
      <w:r w:rsidR="00627860" w:rsidRPr="00627860">
        <w:rPr>
          <w:rFonts w:ascii="Palatino Linotype" w:hAnsi="Palatino Linotype" w:cs="Arial"/>
          <w:i/>
        </w:rPr>
        <w:t xml:space="preserve">, ya que se limita a expresar que no se detallaron los costos de mantenimiento de las cuentas de redes sociales; por tal motivo, las respuestas, respecto a los rubros no combatidos quedan intocadas, ya que se advierte que se da por satisfecho el requerimiento de información, quedando firmes ante la falta de impugnación en específico, pues se entiende que </w:t>
      </w:r>
      <w:r w:rsidR="00627860" w:rsidRPr="00627860">
        <w:rPr>
          <w:rFonts w:ascii="Palatino Linotype" w:hAnsi="Palatino Linotype" w:cs="Arial"/>
          <w:b/>
          <w:i/>
        </w:rPr>
        <w:t>EL RECURRENTE</w:t>
      </w:r>
      <w:r w:rsidR="00627860" w:rsidRPr="00627860">
        <w:rPr>
          <w:rFonts w:ascii="Palatino Linotype" w:hAnsi="Palatino Linotype" w:cs="Arial"/>
          <w:i/>
        </w:rPr>
        <w:t xml:space="preserve"> ésta conforme con la información al no contravenir la misma.</w:t>
      </w:r>
    </w:p>
    <w:p w:rsidR="00627860" w:rsidRPr="00627860" w:rsidRDefault="00627860" w:rsidP="00627860">
      <w:pPr>
        <w:tabs>
          <w:tab w:val="left" w:pos="4962"/>
        </w:tabs>
        <w:spacing w:line="276" w:lineRule="auto"/>
        <w:ind w:left="567" w:right="616"/>
        <w:jc w:val="both"/>
        <w:rPr>
          <w:rFonts w:ascii="Palatino Linotype" w:hAnsi="Palatino Linotype" w:cs="Arial"/>
          <w:i/>
        </w:rPr>
      </w:pPr>
      <w:r w:rsidRPr="00627860">
        <w:rPr>
          <w:rFonts w:ascii="Palatino Linotype" w:hAnsi="Palatino Linotype" w:cs="Arial"/>
          <w:i/>
        </w:rPr>
        <w:t>Sirve de sustento a lo anterior por analogía la tesis jurisprudencial número VI.3o.C. J/60, publicada en el Semanario Judicial de la Federación y su Gaceta bajo el número de registro 176,608 que a la letra dice:</w:t>
      </w:r>
    </w:p>
    <w:p w:rsidR="00627860" w:rsidRPr="00627860" w:rsidRDefault="00627860" w:rsidP="00627860">
      <w:pPr>
        <w:tabs>
          <w:tab w:val="left" w:pos="4962"/>
        </w:tabs>
        <w:spacing w:line="276" w:lineRule="auto"/>
        <w:ind w:left="567" w:right="616"/>
        <w:jc w:val="both"/>
        <w:rPr>
          <w:rFonts w:ascii="Palatino Linotype" w:hAnsi="Palatino Linotype" w:cs="Arial"/>
          <w:i/>
        </w:rPr>
      </w:pPr>
      <w:r w:rsidRPr="00627860">
        <w:rPr>
          <w:rFonts w:ascii="Palatino Linotype" w:hAnsi="Palatino Linotype" w:cs="Arial"/>
          <w:b/>
          <w:bCs/>
          <w:i/>
          <w:iCs/>
        </w:rPr>
        <w:t xml:space="preserve">“ACTOS CONSENTIDOS. SON LOS QUE NO SE IMPUGNAN MEDIANTE EL RECURSO IDÓNEO. </w:t>
      </w:r>
      <w:r w:rsidRPr="00627860">
        <w:rPr>
          <w:rFonts w:ascii="Palatino Linotype" w:hAnsi="Palatino Linotype" w:cs="Arial"/>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27860" w:rsidRPr="00627860" w:rsidRDefault="00627860" w:rsidP="00627860">
      <w:pPr>
        <w:tabs>
          <w:tab w:val="left" w:pos="4962"/>
        </w:tabs>
        <w:spacing w:line="276" w:lineRule="auto"/>
        <w:ind w:left="567" w:right="616"/>
        <w:jc w:val="both"/>
        <w:rPr>
          <w:rFonts w:ascii="Palatino Linotype" w:hAnsi="Palatino Linotype" w:cs="Arial"/>
          <w:i/>
        </w:rPr>
      </w:pPr>
      <w:r w:rsidRPr="00627860">
        <w:rPr>
          <w:rFonts w:ascii="Palatino Linotype" w:hAnsi="Palatino Linotype" w:cs="Arial"/>
          <w:i/>
        </w:rPr>
        <w:t xml:space="preserve">Lo anterior es así, debido a que, cuando </w:t>
      </w:r>
      <w:r w:rsidRPr="00627860">
        <w:rPr>
          <w:rFonts w:ascii="Palatino Linotype" w:hAnsi="Palatino Linotype" w:cs="Arial"/>
          <w:b/>
          <w:bCs/>
          <w:i/>
        </w:rPr>
        <w:t xml:space="preserve">EL RECURRENTE </w:t>
      </w:r>
      <w:r w:rsidRPr="00627860">
        <w:rPr>
          <w:rFonts w:ascii="Palatino Linotype" w:hAnsi="Palatino Linotype" w:cs="Arial"/>
          <w:i/>
        </w:rPr>
        <w:t xml:space="preserve">impugnó las respuestas del </w:t>
      </w:r>
      <w:r w:rsidRPr="00627860">
        <w:rPr>
          <w:rFonts w:ascii="Palatino Linotype" w:hAnsi="Palatino Linotype" w:cs="Arial"/>
          <w:b/>
          <w:bCs/>
          <w:i/>
        </w:rPr>
        <w:t>SUJETO OBLIGADO</w:t>
      </w:r>
      <w:r w:rsidRPr="00627860">
        <w:rPr>
          <w:rFonts w:ascii="Palatino Linotype" w:hAnsi="Palatino Linotype" w:cs="Arial"/>
          <w:i/>
        </w:rPr>
        <w:t xml:space="preserve">, no expresó razón o motivo de inconformidad en contra de </w:t>
      </w:r>
      <w:r w:rsidRPr="00627860">
        <w:rPr>
          <w:rFonts w:ascii="Palatino Linotype" w:hAnsi="Palatino Linotype" w:cs="Arial"/>
          <w:i/>
        </w:rPr>
        <w:lastRenderedPageBreak/>
        <w:t xml:space="preserve">todos los rubros solicitados; por lo que, dichos rubros deben declararse atendidos, pues se entiende que </w:t>
      </w:r>
      <w:r w:rsidRPr="00627860">
        <w:rPr>
          <w:rFonts w:ascii="Palatino Linotype" w:hAnsi="Palatino Linotype" w:cs="Arial"/>
          <w:b/>
          <w:bCs/>
          <w:i/>
        </w:rPr>
        <w:t>EL RECURRENTE</w:t>
      </w:r>
      <w:r w:rsidRPr="00627860">
        <w:rPr>
          <w:rFonts w:ascii="Palatino Linotype" w:hAnsi="Palatino Linotype" w:cs="Arial"/>
          <w:i/>
        </w:rPr>
        <w:t xml:space="preserve"> está conforme con la información al no contravenir la misma.</w:t>
      </w:r>
    </w:p>
    <w:p w:rsidR="00627860" w:rsidRPr="00627860" w:rsidRDefault="00627860" w:rsidP="00627860">
      <w:pPr>
        <w:tabs>
          <w:tab w:val="left" w:pos="4962"/>
        </w:tabs>
        <w:spacing w:line="276" w:lineRule="auto"/>
        <w:ind w:left="567" w:right="616"/>
        <w:jc w:val="both"/>
        <w:rPr>
          <w:rFonts w:ascii="Palatino Linotype" w:hAnsi="Palatino Linotype" w:cs="Arial"/>
          <w:i/>
        </w:rPr>
      </w:pPr>
      <w:r w:rsidRPr="00627860">
        <w:rPr>
          <w:rFonts w:ascii="Palatino Linotype" w:hAnsi="Palatino Linotype" w:cs="Arial"/>
          <w:i/>
        </w:rPr>
        <w:t xml:space="preserve">Consecuentemente, la parte de las respuestas que no fue impugnada debe declararse consentida por </w:t>
      </w:r>
      <w:r w:rsidRPr="00627860">
        <w:rPr>
          <w:rFonts w:ascii="Palatino Linotype" w:hAnsi="Palatino Linotype" w:cs="Arial"/>
          <w:b/>
          <w:i/>
        </w:rPr>
        <w:t>EL RECURRENTE</w:t>
      </w:r>
      <w:r w:rsidRPr="00627860">
        <w:rPr>
          <w:rFonts w:ascii="Palatino Linotype" w:hAnsi="Palatino Linotype" w:cs="Arial"/>
          <w:i/>
        </w:rPr>
        <w:t>, toda vez que no realizó manifestaciones de inconformidad; por lo que, no pueden producirse efectos jurídicos tendentes a revocar, confirmar o modificar el acto reclamado ya que se infiere su consentimiento ante la falta de impugnación eficaz.</w:t>
      </w:r>
    </w:p>
    <w:p w:rsidR="00627860" w:rsidRPr="00627860" w:rsidRDefault="00627860" w:rsidP="00627860">
      <w:pPr>
        <w:tabs>
          <w:tab w:val="left" w:pos="4962"/>
        </w:tabs>
        <w:spacing w:line="276" w:lineRule="auto"/>
        <w:ind w:left="567" w:right="616"/>
        <w:jc w:val="both"/>
        <w:rPr>
          <w:rFonts w:ascii="Palatino Linotype" w:hAnsi="Palatino Linotype" w:cs="Arial"/>
          <w:i/>
        </w:rPr>
      </w:pPr>
      <w:r w:rsidRPr="00627860">
        <w:rPr>
          <w:rFonts w:ascii="Palatino Linotype" w:hAnsi="Palatino Linotype" w:cs="Arial"/>
          <w:i/>
        </w:rPr>
        <w:t>Sirve como apoyo a lo anterior, por analogía, la Tesis Jurisprudencial Número 3ª./J.7/91, Publicada en el Semanario Judicial de la Federación y su Gaceta bajo el número de registro 174,177, que establece lo siguiente:</w:t>
      </w:r>
    </w:p>
    <w:p w:rsidR="00627860" w:rsidRPr="00627860" w:rsidRDefault="00627860" w:rsidP="00627860">
      <w:pPr>
        <w:tabs>
          <w:tab w:val="left" w:pos="4962"/>
        </w:tabs>
        <w:spacing w:line="276" w:lineRule="auto"/>
        <w:ind w:left="567" w:right="616"/>
        <w:jc w:val="both"/>
        <w:rPr>
          <w:rFonts w:ascii="Palatino Linotype" w:hAnsi="Palatino Linotype" w:cs="Arial"/>
          <w:i/>
          <w:iCs/>
        </w:rPr>
      </w:pPr>
      <w:r w:rsidRPr="00627860">
        <w:rPr>
          <w:rFonts w:ascii="Palatino Linotype" w:hAnsi="Palatino Linotype" w:cs="Arial"/>
          <w:b/>
          <w:bCs/>
          <w:i/>
          <w:iCs/>
        </w:rPr>
        <w:t xml:space="preserve">“REVISIÓN EN AMPARO. LOS RESOLUTIVOS NO COMBATIDOS DEBEN DECLARARSE FIRMES. </w:t>
      </w:r>
      <w:r w:rsidRPr="00627860">
        <w:rPr>
          <w:rFonts w:ascii="Palatino Linotype" w:hAnsi="Palatino Linotype" w:cs="Arial"/>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428FB" w:rsidRPr="009428FB" w:rsidRDefault="00627860" w:rsidP="009428FB">
      <w:pPr>
        <w:tabs>
          <w:tab w:val="left" w:pos="4962"/>
        </w:tabs>
        <w:spacing w:line="276" w:lineRule="auto"/>
        <w:ind w:left="567" w:right="616"/>
        <w:jc w:val="both"/>
        <w:rPr>
          <w:rFonts w:ascii="Palatino Linotype" w:eastAsia="Times New Roman" w:hAnsi="Palatino Linotype" w:cs="Tahoma"/>
          <w:i/>
          <w:lang w:val="es-ES" w:eastAsia="es-ES"/>
        </w:rPr>
      </w:pPr>
      <w:r w:rsidRPr="00627860">
        <w:rPr>
          <w:rFonts w:ascii="Palatino Linotype" w:hAnsi="Palatino Linotype" w:cs="Arial"/>
          <w:i/>
        </w:rPr>
        <w:t xml:space="preserve">En ese contexto, esta Ponencia considera conveniente analizar los rubros que fueron impugnados por el hoy </w:t>
      </w:r>
      <w:r w:rsidRPr="00627860">
        <w:rPr>
          <w:rFonts w:ascii="Palatino Linotype" w:hAnsi="Palatino Linotype" w:cs="Arial"/>
          <w:b/>
          <w:i/>
        </w:rPr>
        <w:t>RECURRENTE</w:t>
      </w:r>
      <w:r w:rsidRPr="00627860">
        <w:rPr>
          <w:rFonts w:ascii="Palatino Linotype" w:hAnsi="Palatino Linotype" w:cs="Arial"/>
          <w:i/>
        </w:rPr>
        <w:t xml:space="preserve">, a fin de verificar si la respuesta del </w:t>
      </w:r>
      <w:r w:rsidRPr="00627860">
        <w:rPr>
          <w:rFonts w:ascii="Palatino Linotype" w:hAnsi="Palatino Linotype" w:cs="Arial"/>
          <w:b/>
          <w:i/>
        </w:rPr>
        <w:t>SUJETO OBLIGADO</w:t>
      </w:r>
      <w:r w:rsidRPr="00627860">
        <w:rPr>
          <w:rFonts w:ascii="Palatino Linotype" w:hAnsi="Palatino Linotype" w:cs="Arial"/>
          <w:i/>
        </w:rPr>
        <w:t xml:space="preserve"> satisfizo el derecho de acceso a la información pública del particular.</w:t>
      </w:r>
      <w:r w:rsidR="00B601AF" w:rsidRPr="00B601AF">
        <w:rPr>
          <w:rFonts w:ascii="Palatino Linotype" w:eastAsia="Times New Roman" w:hAnsi="Palatino Linotype" w:cs="Tahoma"/>
          <w:i/>
          <w:lang w:val="es-ES" w:eastAsia="es-ES"/>
        </w:rPr>
        <w:t>” (Sic)</w:t>
      </w:r>
    </w:p>
    <w:p w:rsidR="00D97434" w:rsidRPr="00D97434" w:rsidRDefault="00D97434" w:rsidP="00D97434">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D97434">
        <w:rPr>
          <w:rFonts w:ascii="Palatino Linotype" w:hAnsi="Palatino Linotype" w:cs="Arial"/>
          <w:sz w:val="24"/>
          <w:szCs w:val="24"/>
          <w:lang w:val="es-ES"/>
        </w:rPr>
        <w:t xml:space="preserve"> Por lo que la mayoría consideró que la </w:t>
      </w:r>
      <w:r w:rsidRPr="00D97434">
        <w:rPr>
          <w:rFonts w:ascii="Palatino Linotype" w:hAnsi="Palatino Linotype" w:cs="Arial"/>
          <w:sz w:val="24"/>
          <w:szCs w:val="24"/>
          <w:lang w:val="es-ES"/>
        </w:rPr>
        <w:lastRenderedPageBreak/>
        <w:t xml:space="preserve">respuesta quedó firme ante la falta de impugnación respecto al resto de los requerimientos que no fueron manifestados en el recurso de revisión. </w:t>
      </w:r>
    </w:p>
    <w:p w:rsidR="00D97434" w:rsidRPr="00D97434" w:rsidRDefault="00D97434" w:rsidP="00D97434">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lang w:val="es-ES"/>
        </w:rPr>
        <w:t xml:space="preserve">En el presente asunto que nos ocupa, es de señalar que del análisis hecho a la resolución en comento, no se discute que el </w:t>
      </w:r>
      <w:r w:rsidRPr="00D97434">
        <w:rPr>
          <w:rFonts w:ascii="Palatino Linotype" w:hAnsi="Palatino Linotype" w:cs="Arial"/>
          <w:b/>
          <w:sz w:val="24"/>
          <w:szCs w:val="24"/>
          <w:lang w:val="es-ES"/>
        </w:rPr>
        <w:t>SUJETO OBLIGADO</w:t>
      </w:r>
      <w:r w:rsidRPr="00D97434">
        <w:rPr>
          <w:rFonts w:ascii="Palatino Linotype" w:hAnsi="Palatino Linotype" w:cs="Arial"/>
          <w:sz w:val="24"/>
          <w:szCs w:val="24"/>
          <w:lang w:val="es-ES"/>
        </w:rPr>
        <w:t xml:space="preserve"> ha dado respuesta a la solicitud de información en lo particular, tan es así que al analizar la respuesta</w:t>
      </w:r>
      <w:r>
        <w:rPr>
          <w:rFonts w:ascii="Palatino Linotype" w:hAnsi="Palatino Linotype" w:cs="Arial"/>
          <w:sz w:val="24"/>
          <w:szCs w:val="24"/>
          <w:lang w:val="es-ES"/>
        </w:rPr>
        <w:t>s</w:t>
      </w:r>
      <w:r w:rsidRPr="00D97434">
        <w:rPr>
          <w:rFonts w:ascii="Palatino Linotype" w:hAnsi="Palatino Linotype" w:cs="Arial"/>
          <w:sz w:val="24"/>
          <w:szCs w:val="24"/>
          <w:lang w:val="es-ES"/>
        </w:rPr>
        <w:t xml:space="preserve"> emitida se concluyó que colmó </w:t>
      </w:r>
      <w:r w:rsidR="00627860">
        <w:rPr>
          <w:rFonts w:ascii="Palatino Linotype" w:hAnsi="Palatino Linotype" w:cs="Arial"/>
          <w:sz w:val="24"/>
          <w:szCs w:val="24"/>
          <w:lang w:val="es-ES"/>
        </w:rPr>
        <w:t xml:space="preserve">parcialmente </w:t>
      </w:r>
      <w:r w:rsidRPr="00D97434">
        <w:rPr>
          <w:rFonts w:ascii="Palatino Linotype" w:hAnsi="Palatino Linotype" w:cs="Arial"/>
          <w:sz w:val="24"/>
          <w:szCs w:val="24"/>
          <w:lang w:val="es-ES"/>
        </w:rPr>
        <w:t>con el derecho de acceso a la información, por lo que a mi consideración, es innecesario señalar la figura de actos consentidos, lo anterior en atención a que éste instituto como órgano garante, tiene el deber de velar por el cabal cumplimiento al derecho humano de acceso a la información, mas no limitarlo invocando el multicitado argumento de actos consentidos.</w:t>
      </w:r>
    </w:p>
    <w:p w:rsidR="0046491C" w:rsidRPr="00C27EF9" w:rsidRDefault="0046491C" w:rsidP="00262F92">
      <w:pPr>
        <w:pStyle w:val="Ttulo1"/>
        <w:numPr>
          <w:ilvl w:val="0"/>
          <w:numId w:val="12"/>
        </w:numPr>
        <w:spacing w:line="360" w:lineRule="auto"/>
        <w:ind w:left="0" w:firstLine="0"/>
        <w:rPr>
          <w:rFonts w:ascii="Palatino Linotype" w:hAnsi="Palatino Linotype"/>
          <w:b/>
          <w:color w:val="auto"/>
          <w:sz w:val="24"/>
          <w:szCs w:val="24"/>
        </w:rPr>
      </w:pPr>
      <w:bookmarkStart w:id="2" w:name="_Toc535239167"/>
      <w:r w:rsidRPr="00C27EF9">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46491C" w:rsidRPr="00C27EF9" w:rsidRDefault="0046491C" w:rsidP="00262F92">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En la resolución se precisa, un criterio </w:t>
      </w:r>
      <w:r w:rsidR="00260D6C" w:rsidRPr="00C27EF9">
        <w:rPr>
          <w:rFonts w:ascii="Palatino Linotype" w:hAnsi="Palatino Linotype" w:cs="Arial"/>
          <w:sz w:val="24"/>
          <w:szCs w:val="24"/>
        </w:rPr>
        <w:t>denominado</w:t>
      </w:r>
      <w:r w:rsidRPr="00C27EF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w:t>
      </w:r>
      <w:r w:rsidRPr="00C27EF9">
        <w:rPr>
          <w:rFonts w:ascii="Palatino Linotype" w:hAnsi="Palatino Linotype" w:cs="Arial"/>
          <w:sz w:val="24"/>
          <w:szCs w:val="24"/>
        </w:rPr>
        <w:lastRenderedPageBreak/>
        <w:t xml:space="preserve">derechos sin verse en la necesidad de </w:t>
      </w:r>
      <w:r w:rsidRPr="00C27EF9">
        <w:rPr>
          <w:rFonts w:ascii="Palatino Linotype" w:hAnsi="Palatino Linotype" w:cs="Arial"/>
          <w:b/>
          <w:sz w:val="24"/>
          <w:szCs w:val="24"/>
        </w:rPr>
        <w:t>acudir a un profesionista del derecho</w:t>
      </w:r>
      <w:r w:rsidRPr="00C27E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La figura de la suplencia de la queja, para Héctor </w:t>
      </w:r>
      <w:proofErr w:type="spellStart"/>
      <w:r w:rsidRPr="00C27EF9">
        <w:rPr>
          <w:rFonts w:ascii="Palatino Linotype" w:hAnsi="Palatino Linotype" w:cs="Arial"/>
          <w:sz w:val="24"/>
          <w:szCs w:val="24"/>
        </w:rPr>
        <w:t>Fix</w:t>
      </w:r>
      <w:proofErr w:type="spellEnd"/>
      <w:r w:rsidRPr="00C27EF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C27EF9">
        <w:rPr>
          <w:rStyle w:val="Refdenotaalpie"/>
          <w:rFonts w:ascii="Palatino Linotype" w:hAnsi="Palatino Linotype" w:cs="Arial"/>
          <w:sz w:val="24"/>
          <w:szCs w:val="24"/>
        </w:rPr>
        <w:footnoteReference w:id="1"/>
      </w:r>
      <w:r w:rsidRPr="00C27E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C27EF9">
        <w:rPr>
          <w:rStyle w:val="Refdenotaalpie"/>
          <w:rFonts w:ascii="Palatino Linotype" w:hAnsi="Palatino Linotype" w:cs="Arial"/>
          <w:sz w:val="24"/>
          <w:szCs w:val="24"/>
        </w:rPr>
        <w:footnoteReference w:id="2"/>
      </w:r>
      <w:r w:rsidRPr="00C27EF9">
        <w:rPr>
          <w:rFonts w:ascii="Palatino Linotype" w:hAnsi="Palatino Linotype" w:cs="Arial"/>
          <w:sz w:val="24"/>
          <w:szCs w:val="24"/>
        </w:rPr>
        <w:t xml:space="preserve"> </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C27EF9">
        <w:rPr>
          <w:rFonts w:ascii="Palatino Linotype" w:hAnsi="Palatino Linotype" w:cs="Arial"/>
          <w:b/>
          <w:sz w:val="24"/>
          <w:szCs w:val="24"/>
        </w:rPr>
        <w:t>garantía de los derechos humanos</w:t>
      </w:r>
      <w:r w:rsidRPr="00C27E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En este sentido el Dr. Miguel Carbonell ha señalado que:</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D97434">
      <w:pPr>
        <w:pStyle w:val="Prrafodelista"/>
        <w:tabs>
          <w:tab w:val="left" w:pos="993"/>
        </w:tabs>
        <w:spacing w:after="0" w:line="360" w:lineRule="auto"/>
        <w:ind w:left="567" w:right="616"/>
        <w:jc w:val="both"/>
        <w:rPr>
          <w:rFonts w:ascii="Palatino Linotype" w:hAnsi="Palatino Linotype" w:cs="Arial"/>
          <w:i/>
          <w:sz w:val="24"/>
          <w:szCs w:val="24"/>
        </w:rPr>
      </w:pPr>
      <w:r w:rsidRPr="00D97434">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D97434">
        <w:rPr>
          <w:rFonts w:ascii="Palatino Linotype" w:hAnsi="Palatino Linotype" w:cs="Arial"/>
          <w:b/>
          <w:i/>
          <w:sz w:val="24"/>
          <w:szCs w:val="24"/>
        </w:rPr>
        <w:lastRenderedPageBreak/>
        <w:t>considerando que algún nivel de gobierno tenga obligaciones reforzadas hacia ciertos derechos.</w:t>
      </w:r>
      <w:r w:rsidRPr="00D97434">
        <w:rPr>
          <w:rFonts w:ascii="Palatino Linotype" w:hAnsi="Palatino Linotype" w:cs="Arial"/>
          <w:i/>
          <w:sz w:val="24"/>
          <w:szCs w:val="24"/>
        </w:rPr>
        <w:t xml:space="preserve"> A partir de tales deberes generales, podemos afirmar que las autoridades de todos los niveles de gobierno también tienen la obligación positiva de </w:t>
      </w:r>
      <w:r w:rsidRPr="00D97434">
        <w:rPr>
          <w:rFonts w:ascii="Palatino Linotype" w:hAnsi="Palatino Linotype" w:cs="Arial"/>
          <w:b/>
          <w:i/>
          <w:sz w:val="24"/>
          <w:szCs w:val="24"/>
        </w:rPr>
        <w:t>tomar todas las medidas que sean pertinentes para tutelar y hacer eficaz un derecho</w:t>
      </w:r>
      <w:r w:rsidRPr="00D97434">
        <w:rPr>
          <w:rFonts w:ascii="Palatino Linotype" w:hAnsi="Palatino Linotype" w:cs="Arial"/>
          <w:i/>
          <w:sz w:val="24"/>
          <w:szCs w:val="24"/>
        </w:rPr>
        <w:t>”.</w:t>
      </w:r>
      <w:r w:rsidRPr="00D97434">
        <w:rPr>
          <w:rStyle w:val="Refdenotaalpie"/>
          <w:rFonts w:ascii="Palatino Linotype" w:hAnsi="Palatino Linotype" w:cs="Arial"/>
          <w:i/>
          <w:sz w:val="24"/>
          <w:szCs w:val="24"/>
        </w:rPr>
        <w:footnoteReference w:id="3"/>
      </w:r>
    </w:p>
    <w:p w:rsidR="00D97434" w:rsidRPr="00D97434" w:rsidRDefault="00D97434" w:rsidP="00D97434">
      <w:pPr>
        <w:tabs>
          <w:tab w:val="left" w:pos="993"/>
        </w:tabs>
        <w:spacing w:after="0" w:line="360" w:lineRule="auto"/>
        <w:ind w:right="616"/>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que restringir el derecho de acceso a la información pública del particular</w:t>
      </w:r>
      <w:r w:rsidRPr="00C27EF9">
        <w:rPr>
          <w:rFonts w:ascii="Palatino Linotype" w:hAnsi="Palatino Linotype" w:cs="Arial"/>
          <w:b/>
          <w:sz w:val="24"/>
          <w:szCs w:val="24"/>
        </w:rPr>
        <w:t xml:space="preserve"> </w:t>
      </w:r>
      <w:r w:rsidRPr="00C27E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C27EF9" w:rsidRDefault="0046491C" w:rsidP="00E34F08">
      <w:pPr>
        <w:pStyle w:val="Prrafodelista"/>
        <w:spacing w:after="0" w:line="360" w:lineRule="auto"/>
        <w:jc w:val="both"/>
        <w:rPr>
          <w:rFonts w:ascii="Palatino Linotype" w:hAnsi="Palatino Linotype" w:cs="Arial"/>
          <w:sz w:val="24"/>
          <w:szCs w:val="24"/>
        </w:rPr>
      </w:pPr>
    </w:p>
    <w:p w:rsidR="0046491C" w:rsidRPr="00C27EF9" w:rsidRDefault="009428FB" w:rsidP="00C91360">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Enfrentar este silencio </w:t>
      </w:r>
      <w:r w:rsidR="0046491C" w:rsidRPr="00C27EF9">
        <w:rPr>
          <w:rFonts w:ascii="Palatino Linotype" w:hAnsi="Palatino Linotype" w:cs="Arial"/>
          <w:sz w:val="24"/>
          <w:szCs w:val="24"/>
        </w:rPr>
        <w:t xml:space="preserve">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w:t>
      </w:r>
      <w:r w:rsidR="0046491C" w:rsidRPr="00C27EF9">
        <w:rPr>
          <w:rFonts w:ascii="Palatino Linotype" w:hAnsi="Palatino Linotype" w:cs="Arial"/>
          <w:sz w:val="24"/>
          <w:szCs w:val="24"/>
        </w:rPr>
        <w:lastRenderedPageBreak/>
        <w:t>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C27EF9">
        <w:rPr>
          <w:rFonts w:ascii="Palatino Linotype" w:hAnsi="Palatino Linotype" w:cs="Arial"/>
          <w:sz w:val="24"/>
          <w:szCs w:val="24"/>
        </w:rPr>
        <w:t>Cotta</w:t>
      </w:r>
      <w:proofErr w:type="spellEnd"/>
      <w:r w:rsidRPr="00C27EF9">
        <w:rPr>
          <w:rFonts w:ascii="Palatino Linotype" w:hAnsi="Palatino Linotype" w:cs="Arial"/>
          <w:sz w:val="24"/>
          <w:szCs w:val="24"/>
        </w:rPr>
        <w:t xml:space="preserve"> que “la obligatoriedad de la norma depende de la validez de su justificación, que es, por consiguiente el fundamento de aquella”,</w:t>
      </w:r>
      <w:r w:rsidRPr="00C27EF9">
        <w:rPr>
          <w:rStyle w:val="Refdenotaalpie"/>
          <w:rFonts w:ascii="Palatino Linotype" w:hAnsi="Palatino Linotype" w:cs="Arial"/>
          <w:sz w:val="24"/>
          <w:szCs w:val="24"/>
        </w:rPr>
        <w:footnoteReference w:id="4"/>
      </w:r>
      <w:r w:rsidRPr="00C27EF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D97434" w:rsidRDefault="0046491C" w:rsidP="00C91360">
      <w:pPr>
        <w:pStyle w:val="Prrafodelista"/>
        <w:numPr>
          <w:ilvl w:val="0"/>
          <w:numId w:val="1"/>
        </w:numPr>
        <w:spacing w:after="0" w:line="360" w:lineRule="auto"/>
        <w:ind w:left="0" w:firstLine="0"/>
        <w:jc w:val="both"/>
        <w:rPr>
          <w:rFonts w:ascii="Palatino Linotype" w:hAnsi="Palatino Linotype" w:cs="Arial"/>
          <w:szCs w:val="24"/>
        </w:rPr>
      </w:pPr>
      <w:r w:rsidRPr="00C27EF9">
        <w:rPr>
          <w:rFonts w:ascii="Palatino Linotype" w:hAnsi="Palatino Linotype" w:cs="Arial"/>
          <w:sz w:val="24"/>
          <w:szCs w:val="24"/>
        </w:rPr>
        <w:t xml:space="preserve"> </w:t>
      </w:r>
      <w:r w:rsidRPr="001A0C85">
        <w:rPr>
          <w:rFonts w:ascii="Palatino Linotype" w:hAnsi="Palatino Linotype" w:cs="Arial"/>
          <w:sz w:val="24"/>
          <w:szCs w:val="24"/>
        </w:rPr>
        <w:t>Mucho menos si consideramos el siguiente criterio: DERECHOS HUMANOS. OBLIGACIÓN DE PROTEGERLOS EN TÉRMINOS DEL ARTÍCULO 1o., PÁRRAFO TERCERO, DE LA CONSTITUCIÓN POLÍTICA DE LOS ESTADOS UNIDOS MEXICANOS.</w:t>
      </w:r>
      <w:r w:rsidRPr="00D97434">
        <w:rPr>
          <w:rFonts w:ascii="Palatino Linotype" w:hAnsi="Palatino Linotype" w:cs="Arial"/>
          <w:szCs w:val="24"/>
        </w:rPr>
        <w:t xml:space="preserve">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w:t>
      </w:r>
      <w:r w:rsidRPr="00D97434">
        <w:rPr>
          <w:rFonts w:ascii="Palatino Linotype" w:hAnsi="Palatino Linotype" w:cs="Arial"/>
          <w:szCs w:val="24"/>
        </w:rPr>
        <w:lastRenderedPageBreak/>
        <w:t xml:space="preserve">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97434">
        <w:rPr>
          <w:rFonts w:ascii="Palatino Linotype" w:hAnsi="Palatino Linotype" w:cs="Arial"/>
          <w:b/>
          <w:szCs w:val="24"/>
        </w:rPr>
        <w:t>el deber que tienen los órganos del Estado, dentro del margen de sus atribuciones, de prevenir violaciones a los derechos fundamentales,</w:t>
      </w:r>
      <w:r w:rsidRPr="00D97434">
        <w:rPr>
          <w:rFonts w:ascii="Palatino Linotype" w:hAnsi="Palatino Linotype" w:cs="Arial"/>
          <w:szCs w:val="24"/>
        </w:rPr>
        <w:t xml:space="preserve"> ya sea que provengan de una autoridad o de algún particular y, por ello, </w:t>
      </w:r>
      <w:r w:rsidRPr="00D97434">
        <w:rPr>
          <w:rFonts w:ascii="Palatino Linotype" w:hAnsi="Palatino Linotype" w:cs="Arial"/>
          <w:b/>
          <w:szCs w:val="24"/>
        </w:rPr>
        <w:t>debe contarse</w:t>
      </w:r>
      <w:r w:rsidRPr="00D97434">
        <w:rPr>
          <w:rFonts w:ascii="Palatino Linotype" w:hAnsi="Palatino Linotype" w:cs="Arial"/>
          <w:szCs w:val="24"/>
        </w:rPr>
        <w:t xml:space="preserve"> tanto </w:t>
      </w:r>
      <w:r w:rsidRPr="00D97434">
        <w:rPr>
          <w:rFonts w:ascii="Palatino Linotype" w:hAnsi="Palatino Linotype" w:cs="Arial"/>
          <w:b/>
          <w:szCs w:val="24"/>
        </w:rPr>
        <w:t>con mecanismos</w:t>
      </w:r>
      <w:r w:rsidRPr="00D97434">
        <w:rPr>
          <w:rFonts w:ascii="Palatino Linotype" w:hAnsi="Palatino Linotype" w:cs="Arial"/>
          <w:szCs w:val="24"/>
        </w:rPr>
        <w:t xml:space="preserve"> de vigilancia como </w:t>
      </w:r>
      <w:r w:rsidRPr="00D97434">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97434">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C27EF9">
        <w:rPr>
          <w:rFonts w:ascii="Palatino Linotype" w:hAnsi="Palatino Linotype" w:cs="Arial"/>
          <w:b/>
          <w:sz w:val="24"/>
          <w:szCs w:val="24"/>
        </w:rPr>
        <w:lastRenderedPageBreak/>
        <w:t>SUJETOS OBLIGADOS</w:t>
      </w:r>
      <w:r w:rsidRPr="00C27EF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C27EF9" w:rsidRDefault="00DF6F7E" w:rsidP="00E34F08">
      <w:pPr>
        <w:pStyle w:val="Prrafodelista"/>
        <w:spacing w:line="360" w:lineRule="auto"/>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C27EF9">
        <w:rPr>
          <w:rFonts w:ascii="Palatino Linotype" w:hAnsi="Palatino Linotype" w:cs="Arial"/>
          <w:sz w:val="24"/>
          <w:szCs w:val="24"/>
        </w:rPr>
        <w:t>procedibilidad</w:t>
      </w:r>
      <w:proofErr w:type="spellEnd"/>
      <w:r w:rsidRPr="00C27EF9">
        <w:rPr>
          <w:rFonts w:ascii="Palatino Linotype" w:hAnsi="Palatino Linotype" w:cs="Arial"/>
          <w:sz w:val="24"/>
          <w:szCs w:val="24"/>
        </w:rPr>
        <w:t>, ya que en todo momento nos encontramos ante un derecho más alto que, puede considerarse en los siguientes términos:</w:t>
      </w:r>
    </w:p>
    <w:p w:rsidR="0001046D" w:rsidRPr="00C27EF9" w:rsidRDefault="0001046D" w:rsidP="00E34F08">
      <w:pPr>
        <w:pStyle w:val="Prrafodelista"/>
        <w:spacing w:after="0" w:line="360" w:lineRule="auto"/>
        <w:ind w:left="284"/>
        <w:jc w:val="both"/>
        <w:rPr>
          <w:rFonts w:ascii="Palatino Linotype" w:hAnsi="Palatino Linotype" w:cs="Arial"/>
          <w:sz w:val="24"/>
          <w:szCs w:val="24"/>
        </w:rPr>
      </w:pPr>
    </w:p>
    <w:p w:rsidR="0046491C" w:rsidRPr="00C27EF9" w:rsidRDefault="0046491C" w:rsidP="00C91360">
      <w:pPr>
        <w:spacing w:after="0" w:line="360" w:lineRule="auto"/>
        <w:ind w:left="567" w:right="618"/>
        <w:jc w:val="both"/>
        <w:rPr>
          <w:rFonts w:ascii="Palatino Linotype" w:hAnsi="Palatino Linotype" w:cs="Arial"/>
          <w:i/>
          <w:sz w:val="24"/>
          <w:szCs w:val="24"/>
        </w:rPr>
      </w:pPr>
      <w:r w:rsidRPr="00C27EF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w:t>
      </w:r>
      <w:bookmarkStart w:id="3" w:name="_GoBack"/>
      <w:bookmarkEnd w:id="3"/>
      <w:r w:rsidRPr="00C27EF9">
        <w:rPr>
          <w:rFonts w:ascii="Palatino Linotype" w:hAnsi="Palatino Linotype" w:cs="Arial"/>
          <w:i/>
          <w:sz w:val="24"/>
          <w:szCs w:val="24"/>
        </w:rPr>
        <w:t xml:space="preserve">producción del derecho, generados por la heterogeneidad y </w:t>
      </w:r>
      <w:proofErr w:type="spellStart"/>
      <w:r w:rsidRPr="00C27EF9">
        <w:rPr>
          <w:rFonts w:ascii="Palatino Linotype" w:hAnsi="Palatino Linotype" w:cs="Arial"/>
          <w:i/>
          <w:sz w:val="24"/>
          <w:szCs w:val="24"/>
        </w:rPr>
        <w:t>ocasionalidad</w:t>
      </w:r>
      <w:proofErr w:type="spellEnd"/>
      <w:r w:rsidRPr="00C27EF9">
        <w:rPr>
          <w:rFonts w:ascii="Palatino Linotype" w:hAnsi="Palatino Linotype" w:cs="Arial"/>
          <w:i/>
          <w:sz w:val="24"/>
          <w:szCs w:val="24"/>
        </w:rPr>
        <w:t xml:space="preserve"> de las presiones sociales que se ejercen sobre el mismo”.</w:t>
      </w:r>
      <w:r w:rsidRPr="00C27EF9">
        <w:rPr>
          <w:rStyle w:val="Refdenotaalpie"/>
          <w:rFonts w:ascii="Palatino Linotype" w:hAnsi="Palatino Linotype" w:cs="Arial"/>
          <w:i/>
          <w:sz w:val="24"/>
          <w:szCs w:val="24"/>
        </w:rPr>
        <w:footnoteReference w:id="5"/>
      </w:r>
    </w:p>
    <w:p w:rsidR="009156AC" w:rsidRPr="00C27EF9" w:rsidRDefault="009156AC" w:rsidP="00E34F08">
      <w:pPr>
        <w:spacing w:after="0" w:line="360" w:lineRule="auto"/>
        <w:ind w:left="1134" w:right="618"/>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w:t>
      </w:r>
      <w:r w:rsidRPr="00C27EF9">
        <w:rPr>
          <w:rFonts w:ascii="Palatino Linotype" w:hAnsi="Palatino Linotype" w:cs="Arial"/>
          <w:sz w:val="24"/>
          <w:szCs w:val="24"/>
        </w:rPr>
        <w:lastRenderedPageBreak/>
        <w:t>requerimientos solicitados cuando no se pronuncien al respecto, cuando sea evidente que no han sido colmados, en ese sentido no estaríamos garantizando el derecho fundamental.</w:t>
      </w:r>
    </w:p>
    <w:p w:rsidR="00DF6F7E" w:rsidRPr="00C27EF9" w:rsidRDefault="00DF6F7E" w:rsidP="00E34F08">
      <w:pPr>
        <w:pStyle w:val="Prrafodelista"/>
        <w:spacing w:line="360" w:lineRule="auto"/>
        <w:jc w:val="both"/>
        <w:rPr>
          <w:rFonts w:ascii="Palatino Linotype" w:hAnsi="Palatino Linotype" w:cs="Arial"/>
          <w:sz w:val="24"/>
          <w:szCs w:val="24"/>
        </w:rPr>
      </w:pPr>
    </w:p>
    <w:p w:rsidR="00D97434" w:rsidRDefault="0046491C" w:rsidP="00D97434">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D97434" w:rsidRDefault="00D97434" w:rsidP="00D97434">
      <w:pPr>
        <w:spacing w:after="0" w:line="360" w:lineRule="auto"/>
        <w:jc w:val="both"/>
        <w:rPr>
          <w:rFonts w:ascii="Palatino Linotype" w:hAnsi="Palatino Linotype" w:cs="Arial"/>
          <w:sz w:val="24"/>
          <w:szCs w:val="24"/>
        </w:rPr>
      </w:pPr>
    </w:p>
    <w:p w:rsidR="009C154D" w:rsidRPr="00D97434" w:rsidRDefault="009C154D" w:rsidP="00D97434">
      <w:pPr>
        <w:spacing w:after="0" w:line="360" w:lineRule="auto"/>
        <w:jc w:val="both"/>
        <w:rPr>
          <w:rFonts w:ascii="Palatino Linotype" w:hAnsi="Palatino Linotype" w:cs="Arial"/>
          <w:sz w:val="24"/>
          <w:szCs w:val="24"/>
        </w:rPr>
      </w:pPr>
    </w:p>
    <w:p w:rsidR="0046491C" w:rsidRPr="00C27EF9" w:rsidRDefault="0046491C" w:rsidP="00E34F08">
      <w:pPr>
        <w:pStyle w:val="Sinespaciado"/>
        <w:spacing w:line="360" w:lineRule="auto"/>
        <w:jc w:val="center"/>
        <w:rPr>
          <w:rFonts w:ascii="Palatino Linotype" w:hAnsi="Palatino Linotype"/>
          <w:b/>
          <w:sz w:val="24"/>
          <w:szCs w:val="24"/>
        </w:rPr>
      </w:pPr>
      <w:r w:rsidRPr="00C27EF9">
        <w:rPr>
          <w:rFonts w:ascii="Palatino Linotype" w:hAnsi="Palatino Linotype"/>
          <w:b/>
          <w:sz w:val="24"/>
          <w:szCs w:val="24"/>
        </w:rPr>
        <w:t>JOSÉ GUADALUPE LUNA HERNÁNDEZ</w:t>
      </w:r>
    </w:p>
    <w:p w:rsidR="00D97434" w:rsidRDefault="0046491C" w:rsidP="00D97434">
      <w:pPr>
        <w:spacing w:after="0" w:line="360" w:lineRule="auto"/>
        <w:jc w:val="center"/>
        <w:rPr>
          <w:rFonts w:ascii="Palatino Linotype" w:hAnsi="Palatino Linotype"/>
          <w:b/>
          <w:sz w:val="24"/>
          <w:szCs w:val="24"/>
        </w:rPr>
      </w:pPr>
      <w:r w:rsidRPr="00C27EF9">
        <w:rPr>
          <w:rFonts w:ascii="Palatino Linotype" w:hAnsi="Palatino Linotype"/>
          <w:b/>
          <w:sz w:val="24"/>
          <w:szCs w:val="24"/>
        </w:rPr>
        <w:t>COMISIONADO</w:t>
      </w:r>
    </w:p>
    <w:p w:rsidR="009C154D" w:rsidRDefault="009C154D" w:rsidP="009428FB">
      <w:pPr>
        <w:spacing w:after="0" w:line="360" w:lineRule="auto"/>
        <w:jc w:val="center"/>
        <w:rPr>
          <w:rFonts w:ascii="Palatino Linotype" w:hAnsi="Palatino Linotype"/>
          <w:b/>
          <w:sz w:val="24"/>
          <w:szCs w:val="24"/>
        </w:rPr>
      </w:pPr>
      <w:r>
        <w:rPr>
          <w:rFonts w:ascii="Palatino Linotype" w:hAnsi="Palatino Linotype"/>
          <w:b/>
          <w:sz w:val="24"/>
          <w:szCs w:val="24"/>
        </w:rPr>
        <w:t xml:space="preserve">(Rúbrica) </w:t>
      </w:r>
    </w:p>
    <w:p w:rsidR="009C154D" w:rsidRDefault="009C154D" w:rsidP="00D97434">
      <w:pPr>
        <w:spacing w:line="360" w:lineRule="auto"/>
        <w:jc w:val="right"/>
        <w:rPr>
          <w:rFonts w:ascii="Palatino Linotype" w:hAnsi="Palatino Linotype"/>
          <w:b/>
          <w:sz w:val="24"/>
          <w:szCs w:val="24"/>
        </w:rPr>
      </w:pPr>
    </w:p>
    <w:p w:rsidR="00575478" w:rsidRPr="00C27EF9" w:rsidRDefault="00C91360" w:rsidP="00D97434">
      <w:pPr>
        <w:spacing w:line="360" w:lineRule="auto"/>
        <w:jc w:val="right"/>
        <w:rPr>
          <w:rFonts w:ascii="Palatino Linotype" w:hAnsi="Palatino Linotype"/>
          <w:b/>
          <w:sz w:val="24"/>
          <w:szCs w:val="24"/>
        </w:rPr>
      </w:pPr>
      <w:r w:rsidRPr="00C27EF9">
        <w:rPr>
          <w:rFonts w:ascii="Palatino Linotype" w:hAnsi="Palatino Linotype"/>
          <w:b/>
          <w:sz w:val="24"/>
          <w:szCs w:val="24"/>
        </w:rPr>
        <w:t>JGLH/MPBR</w:t>
      </w:r>
      <w:r w:rsidR="00575478" w:rsidRPr="00C27EF9">
        <w:rPr>
          <w:rFonts w:ascii="Palatino Linotype" w:hAnsi="Palatino Linotype"/>
          <w:b/>
          <w:sz w:val="24"/>
          <w:szCs w:val="24"/>
        </w:rPr>
        <w:t>.</w:t>
      </w:r>
    </w:p>
    <w:sectPr w:rsidR="00575478" w:rsidRPr="00C27EF9" w:rsidSect="001A0C85">
      <w:headerReference w:type="even" r:id="rId8"/>
      <w:headerReference w:type="default" r:id="rId9"/>
      <w:footerReference w:type="even" r:id="rId10"/>
      <w:footerReference w:type="default" r:id="rId11"/>
      <w:headerReference w:type="first" r:id="rId12"/>
      <w:footerReference w:type="first" r:id="rId13"/>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E5" w:rsidRDefault="00C82FE5" w:rsidP="00E706DA">
      <w:pPr>
        <w:spacing w:after="0" w:line="240" w:lineRule="auto"/>
      </w:pPr>
      <w:r>
        <w:separator/>
      </w:r>
    </w:p>
  </w:endnote>
  <w:endnote w:type="continuationSeparator" w:id="0">
    <w:p w:rsidR="00C82FE5" w:rsidRDefault="00C82FE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9C154D" w:rsidRDefault="009C154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04834">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04834">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C154D" w:rsidRDefault="009C15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E5" w:rsidRDefault="00C82FE5" w:rsidP="00E706DA">
      <w:pPr>
        <w:spacing w:after="0" w:line="240" w:lineRule="auto"/>
      </w:pPr>
      <w:r>
        <w:separator/>
      </w:r>
    </w:p>
  </w:footnote>
  <w:footnote w:type="continuationSeparator" w:id="0">
    <w:p w:rsidR="00C82FE5" w:rsidRDefault="00C82FE5" w:rsidP="00E706DA">
      <w:pPr>
        <w:spacing w:after="0" w:line="240" w:lineRule="auto"/>
      </w:pPr>
      <w:r>
        <w:continuationSeparator/>
      </w:r>
    </w:p>
  </w:footnote>
  <w:footnote w:id="1">
    <w:p w:rsidR="009C154D" w:rsidRDefault="009C154D"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9C154D" w:rsidRDefault="009C154D" w:rsidP="0046491C">
      <w:pPr>
        <w:pStyle w:val="Textonotapie"/>
      </w:pPr>
      <w:r>
        <w:rPr>
          <w:rStyle w:val="Refdenotaalpie"/>
        </w:rPr>
        <w:footnoteRef/>
      </w:r>
      <w:r>
        <w:t xml:space="preserve"> </w:t>
      </w:r>
      <w:r w:rsidRPr="00C775C0">
        <w:rPr>
          <w:i/>
        </w:rPr>
        <w:t>Ibídem</w:t>
      </w:r>
      <w:r>
        <w:t>. Pág. 3594.</w:t>
      </w:r>
    </w:p>
  </w:footnote>
  <w:footnote w:id="3">
    <w:p w:rsidR="009C154D" w:rsidRDefault="009C154D"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9C154D" w:rsidRDefault="009C154D"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9C154D" w:rsidRDefault="009C154D"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6048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6048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9C154D" w:rsidRDefault="009C15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6048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1CDB"/>
    <w:multiLevelType w:val="hybridMultilevel"/>
    <w:tmpl w:val="D7A2F7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18CF04EF"/>
    <w:multiLevelType w:val="hybridMultilevel"/>
    <w:tmpl w:val="E5B874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FB237D"/>
    <w:multiLevelType w:val="hybridMultilevel"/>
    <w:tmpl w:val="3A72B6C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05433BC"/>
    <w:multiLevelType w:val="hybridMultilevel"/>
    <w:tmpl w:val="80E2E72C"/>
    <w:lvl w:ilvl="0" w:tplc="1EF86C9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CA49EA"/>
    <w:multiLevelType w:val="hybridMultilevel"/>
    <w:tmpl w:val="99F60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D0A4C760"/>
    <w:lvl w:ilvl="0" w:tplc="360E2BC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8A3CB5"/>
    <w:multiLevelType w:val="hybridMultilevel"/>
    <w:tmpl w:val="373C738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8C12C5"/>
    <w:multiLevelType w:val="hybridMultilevel"/>
    <w:tmpl w:val="2C0AEE84"/>
    <w:lvl w:ilvl="0" w:tplc="336E63F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10"/>
  </w:num>
  <w:num w:numId="5">
    <w:abstractNumId w:val="12"/>
  </w:num>
  <w:num w:numId="6">
    <w:abstractNumId w:val="14"/>
  </w:num>
  <w:num w:numId="7">
    <w:abstractNumId w:val="17"/>
  </w:num>
  <w:num w:numId="8">
    <w:abstractNumId w:val="16"/>
  </w:num>
  <w:num w:numId="9">
    <w:abstractNumId w:val="19"/>
  </w:num>
  <w:num w:numId="10">
    <w:abstractNumId w:val="2"/>
  </w:num>
  <w:num w:numId="11">
    <w:abstractNumId w:val="18"/>
  </w:num>
  <w:num w:numId="12">
    <w:abstractNumId w:val="9"/>
  </w:num>
  <w:num w:numId="13">
    <w:abstractNumId w:val="3"/>
  </w:num>
  <w:num w:numId="14">
    <w:abstractNumId w:val="8"/>
  </w:num>
  <w:num w:numId="15">
    <w:abstractNumId w:val="7"/>
  </w:num>
  <w:num w:numId="16">
    <w:abstractNumId w:val="20"/>
  </w:num>
  <w:num w:numId="17">
    <w:abstractNumId w:val="0"/>
  </w:num>
  <w:num w:numId="18">
    <w:abstractNumId w:val="11"/>
  </w:num>
  <w:num w:numId="19">
    <w:abstractNumId w:val="15"/>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150A"/>
    <w:rsid w:val="000577B7"/>
    <w:rsid w:val="00064226"/>
    <w:rsid w:val="00072CF3"/>
    <w:rsid w:val="00073F0D"/>
    <w:rsid w:val="0007467A"/>
    <w:rsid w:val="000951B4"/>
    <w:rsid w:val="000A77B5"/>
    <w:rsid w:val="000A7B66"/>
    <w:rsid w:val="000F6CBB"/>
    <w:rsid w:val="00122625"/>
    <w:rsid w:val="00185583"/>
    <w:rsid w:val="00194B6A"/>
    <w:rsid w:val="001A0C85"/>
    <w:rsid w:val="001D3F34"/>
    <w:rsid w:val="0020315F"/>
    <w:rsid w:val="002036ED"/>
    <w:rsid w:val="00225026"/>
    <w:rsid w:val="00260D6C"/>
    <w:rsid w:val="002620E9"/>
    <w:rsid w:val="00262F92"/>
    <w:rsid w:val="00281310"/>
    <w:rsid w:val="002921DD"/>
    <w:rsid w:val="002C1F75"/>
    <w:rsid w:val="00302832"/>
    <w:rsid w:val="00343BC5"/>
    <w:rsid w:val="00346DBD"/>
    <w:rsid w:val="00367E00"/>
    <w:rsid w:val="003705BB"/>
    <w:rsid w:val="003747A5"/>
    <w:rsid w:val="003A41AE"/>
    <w:rsid w:val="003D7B9E"/>
    <w:rsid w:val="003D7F3D"/>
    <w:rsid w:val="00412952"/>
    <w:rsid w:val="00413496"/>
    <w:rsid w:val="00424DE3"/>
    <w:rsid w:val="00444048"/>
    <w:rsid w:val="0046491C"/>
    <w:rsid w:val="0048490F"/>
    <w:rsid w:val="004C76D7"/>
    <w:rsid w:val="004E7E17"/>
    <w:rsid w:val="005200EE"/>
    <w:rsid w:val="00532410"/>
    <w:rsid w:val="00575478"/>
    <w:rsid w:val="005A3267"/>
    <w:rsid w:val="005D0C3F"/>
    <w:rsid w:val="005F3760"/>
    <w:rsid w:val="00604834"/>
    <w:rsid w:val="00625034"/>
    <w:rsid w:val="00627860"/>
    <w:rsid w:val="00634736"/>
    <w:rsid w:val="00651380"/>
    <w:rsid w:val="006728FD"/>
    <w:rsid w:val="00673293"/>
    <w:rsid w:val="00682EF5"/>
    <w:rsid w:val="0069498B"/>
    <w:rsid w:val="006A4FA8"/>
    <w:rsid w:val="006B36D1"/>
    <w:rsid w:val="006B3E32"/>
    <w:rsid w:val="006E2606"/>
    <w:rsid w:val="00717C0D"/>
    <w:rsid w:val="0072136B"/>
    <w:rsid w:val="0076241F"/>
    <w:rsid w:val="00770016"/>
    <w:rsid w:val="00790E37"/>
    <w:rsid w:val="007A7FAD"/>
    <w:rsid w:val="007B22FF"/>
    <w:rsid w:val="007E2CF8"/>
    <w:rsid w:val="00814E97"/>
    <w:rsid w:val="008361CA"/>
    <w:rsid w:val="00850252"/>
    <w:rsid w:val="00854590"/>
    <w:rsid w:val="00856FA1"/>
    <w:rsid w:val="008822B3"/>
    <w:rsid w:val="008B03B6"/>
    <w:rsid w:val="008B29C3"/>
    <w:rsid w:val="008C2FF2"/>
    <w:rsid w:val="008D4B3A"/>
    <w:rsid w:val="008E01AC"/>
    <w:rsid w:val="008E1DCC"/>
    <w:rsid w:val="008F3E81"/>
    <w:rsid w:val="00900E75"/>
    <w:rsid w:val="00902248"/>
    <w:rsid w:val="009156AC"/>
    <w:rsid w:val="00937D7D"/>
    <w:rsid w:val="0094239C"/>
    <w:rsid w:val="009428FB"/>
    <w:rsid w:val="009C154D"/>
    <w:rsid w:val="009C4EF6"/>
    <w:rsid w:val="00A029A4"/>
    <w:rsid w:val="00A63717"/>
    <w:rsid w:val="00A677FE"/>
    <w:rsid w:val="00A93B26"/>
    <w:rsid w:val="00AA49F3"/>
    <w:rsid w:val="00AB023D"/>
    <w:rsid w:val="00AB126B"/>
    <w:rsid w:val="00AC381E"/>
    <w:rsid w:val="00AE4797"/>
    <w:rsid w:val="00AF73BC"/>
    <w:rsid w:val="00B120CA"/>
    <w:rsid w:val="00B601AF"/>
    <w:rsid w:val="00B62486"/>
    <w:rsid w:val="00BC7B0C"/>
    <w:rsid w:val="00BF3534"/>
    <w:rsid w:val="00C279F1"/>
    <w:rsid w:val="00C27EF9"/>
    <w:rsid w:val="00C82FE5"/>
    <w:rsid w:val="00C91360"/>
    <w:rsid w:val="00CE0823"/>
    <w:rsid w:val="00D24398"/>
    <w:rsid w:val="00D32E91"/>
    <w:rsid w:val="00D33AF9"/>
    <w:rsid w:val="00D363F7"/>
    <w:rsid w:val="00D72985"/>
    <w:rsid w:val="00D7508B"/>
    <w:rsid w:val="00D97434"/>
    <w:rsid w:val="00DC12EA"/>
    <w:rsid w:val="00DF6F7E"/>
    <w:rsid w:val="00E34F08"/>
    <w:rsid w:val="00E6104E"/>
    <w:rsid w:val="00E61AB8"/>
    <w:rsid w:val="00E64674"/>
    <w:rsid w:val="00E706DA"/>
    <w:rsid w:val="00E83E93"/>
    <w:rsid w:val="00E90EB5"/>
    <w:rsid w:val="00E94FBF"/>
    <w:rsid w:val="00ED2CEE"/>
    <w:rsid w:val="00ED57EE"/>
    <w:rsid w:val="00EF0C2D"/>
    <w:rsid w:val="00EF5DAC"/>
    <w:rsid w:val="00F14701"/>
    <w:rsid w:val="00F25783"/>
    <w:rsid w:val="00F45161"/>
    <w:rsid w:val="00F46E78"/>
    <w:rsid w:val="00F67EAD"/>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7636">
      <w:bodyDiv w:val="1"/>
      <w:marLeft w:val="0"/>
      <w:marRight w:val="0"/>
      <w:marTop w:val="0"/>
      <w:marBottom w:val="0"/>
      <w:divBdr>
        <w:top w:val="none" w:sz="0" w:space="0" w:color="auto"/>
        <w:left w:val="none" w:sz="0" w:space="0" w:color="auto"/>
        <w:bottom w:val="none" w:sz="0" w:space="0" w:color="auto"/>
        <w:right w:val="none" w:sz="0" w:space="0" w:color="auto"/>
      </w:divBdr>
    </w:div>
    <w:div w:id="494347728">
      <w:bodyDiv w:val="1"/>
      <w:marLeft w:val="0"/>
      <w:marRight w:val="0"/>
      <w:marTop w:val="0"/>
      <w:marBottom w:val="0"/>
      <w:divBdr>
        <w:top w:val="none" w:sz="0" w:space="0" w:color="auto"/>
        <w:left w:val="none" w:sz="0" w:space="0" w:color="auto"/>
        <w:bottom w:val="none" w:sz="0" w:space="0" w:color="auto"/>
        <w:right w:val="none" w:sz="0" w:space="0" w:color="auto"/>
      </w:divBdr>
    </w:div>
    <w:div w:id="798375376">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7580193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0055007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8ED4-5990-4031-9A76-72083574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3876</Words>
  <Characters>21319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2019-02-22T21:29:00Z</cp:lastPrinted>
  <dcterms:created xsi:type="dcterms:W3CDTF">2019-02-26T23:47:00Z</dcterms:created>
  <dcterms:modified xsi:type="dcterms:W3CDTF">2019-03-29T17:52:00Z</dcterms:modified>
</cp:coreProperties>
</file>